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drawing>
          <wp:inline xmlns:a="http://schemas.openxmlformats.org/drawingml/2006/main" xmlns:pic="http://schemas.openxmlformats.org/drawingml/2006/picture">
            <wp:extent cx="329184" cy="329184"/>
            <wp:docPr id="5" name="Picture 5"/>
            <wp:cNvGraphicFramePr>
              <a:graphicFrameLocks noChangeAspect="1"/>
            </wp:cNvGraphicFramePr>
            <a:graphic>
              <a:graphicData uri="http://schemas.openxmlformats.org/drawingml/2006/picture">
                <pic:pic>
                  <pic:nvPicPr>
                    <pic:cNvPr id="0" name="spiralweb-mark.png"/>
                    <pic:cNvPicPr/>
                  </pic:nvPicPr>
                  <pic:blipFill>
                    <a:blip r:embed="rId37"/>
                    <a:stretch>
                      <a:fillRect/>
                    </a:stretch>
                  </pic:blipFill>
                  <pic:spPr>
                    <a:xfrm>
                      <a:off x="0" y="0"/>
                      <a:ext cx="329184" cy="329184"/>
                    </a:xfrm>
                    <a:prstGeom prst="rect"/>
                  </pic:spPr>
                </pic:pic>
              </a:graphicData>
            </a:graphic>
          </wp:inline>
        </w:drawing>
      </w:r>
      <w:r>
        <w:t xml:space="preserve">The Field Diary</w:t>
      </w:r>
    </w:p>
    <w:p>
      <w:pPr>
        <w:pStyle w:val="Subtitle"/>
      </w:pPr>
      <w:r>
        <w:t xml:space="preserve">From personal experience to shared capacity for action</w:t>
      </w:r>
      <w:r>
        <w:br/>
      </w:r>
      <w:r>
        <w:t xml:space="preserve">A Practice Guide to learning spirals, PG Ledger and critical dialogue with AI</w:t>
      </w:r>
    </w:p>
    <w:p>
      <w:r>
        <w:t xml:space="preserve">English edition v1.0.1 · 24 October 2026</w:t>
      </w:r>
      <w:r>
        <w:br/>
      </w:r>
      <w:r>
        <w:t xml:space="preserve">Published by Spiralweb Stewardship Association · Spiralweb Papers</w:t>
      </w:r>
      <w:r>
        <w:br/>
      </w:r>
      <w:r>
        <w:t xml:space="preserve">Developed through the work on Learning with Living Places</w:t>
      </w:r>
    </w:p>
    <w:p>
      <w:r>
        <w:t xml:space="preserve">The Field Diary is an open practice guide published by Spiralweb Stewardship Association through Spiralweb Papers. It begins with people’s work in a living place: something is noticed, recorded and investigated together. An action becomes possible, and experience changes the next step. The guide connects this movement with knowledge that can inform the inquiry, critical dialogue with AI and resources that can help sustain the field.</w:t>
      </w:r>
    </w:p>
    <w:p>
      <w:r>
        <w:t xml:space="preserve">Begin with something concrete from your own practice. Speech, drawing, personal symbols, photographs, video and writing can preserve an experience. The group arranges access to the tools and support it needs; having your own phone is not a requirement. A chosen contribution provides a reference for later comparison and correction. People act as critical friends to AI, individually or together. Experience comes first; not everything experienced needs to be recorded.</w:t>
      </w:r>
    </w:p>
    <w:p>
      <w:r>
        <w:drawing>
          <wp:inline xmlns:a="http://schemas.openxmlformats.org/drawingml/2006/main" xmlns:pic="http://schemas.openxmlformats.org/drawingml/2006/picture">
            <wp:extent cx="6217920" cy="2144969"/>
            <wp:docPr id="1" name="Picture 1" descr="A personal contribution enters shared inquiry and returns to the field through action, relationships, correction and new questions."/>
            <wp:cNvGraphicFramePr>
              <a:graphicFrameLocks noChangeAspect="1"/>
            </wp:cNvGraphicFramePr>
            <a:graphic>
              <a:graphicData uri="http://schemas.openxmlformats.org/drawingml/2006/picture">
                <pic:pic>
                  <pic:nvPicPr>
                    <pic:cNvPr id="0" name="entry.png"/>
                    <pic:cNvPicPr/>
                  </pic:nvPicPr>
                  <pic:blipFill>
                    <a:blip r:embed="rId11"/>
                    <a:stretch>
                      <a:fillRect/>
                    </a:stretch>
                  </pic:blipFill>
                  <pic:spPr>
                    <a:xfrm>
                      <a:off x="0" y="0"/>
                      <a:ext cx="6217920" cy="2144969"/>
                    </a:xfrm>
                    <a:prstGeom prst="rect"/>
                  </pic:spPr>
                </pic:pic>
              </a:graphicData>
            </a:graphic>
          </wp:inline>
        </w:drawing>
      </w:r>
    </w:p>
    <w:p>
      <w:pPr>
        <w:pStyle w:val="Heading2"/>
      </w:pPr>
      <w:r>
        <w:t xml:space="preserve">A connected practice</w:t>
      </w:r>
    </w:p>
    <w:p>
      <w:r>
        <w:t xml:space="preserve">The diary holds your own records of experience. Shared inquiry connects selected contributions with a question. </w:t>
      </w:r>
      <w:hyperlink r:id="rId16">
        <w:r>
          <w:rPr>
            <w:color w:val="286A68"/>
            <w:u w:val="single"/>
          </w:rPr>
          <w:t xml:space="preserve">PG Ledger</w:t>
        </w:r>
      </w:hyperlink>
      <w:r>
        <w:t xml:space="preserve"> holds the agreed memory of actions, decisions, resources and what happens later. The learning spiral is the return through which experience can change understanding and subsequent practice. The following pages first show a complete inquiry, then explain how its different parts work.</w:t>
      </w:r>
    </w:p>
    <w:p>
      <w:r>
        <w:t xml:space="preserve">The guide brings together a practical application of </w:t>
      </w:r>
      <w:hyperlink r:id="rId15">
        <w:r>
          <w:rPr>
            <w:color w:val="286A68"/>
            <w:u w:val="single"/>
          </w:rPr>
          <w:t xml:space="preserve">Healthy Roots</w:t>
        </w:r>
      </w:hyperlink>
      <w:r>
        <w:t xml:space="preserve">, </w:t>
      </w:r>
      <w:hyperlink r:id="rId16">
        <w:r>
          <w:rPr>
            <w:color w:val="286A68"/>
            <w:u w:val="single"/>
          </w:rPr>
          <w:t xml:space="preserve">PG Ledger</w:t>
        </w:r>
      </w:hyperlink>
      <w:r>
        <w:t xml:space="preserve"> and human authority in work with AI. At spiralweb.earth you can find the Association and its place-based relationships. At papers.spiralweb.earth you can find papers, protocols and tools. The material can be used without a partnership with the Association. Your own experience can also lead to proposals for changing the shared tools.</w:t>
      </w:r>
    </w:p>
    <w:p>
      <w:r>
        <w:t>Use and adapt the diary locally. The contents and concept links are clickable. This Word edition contains the diary’s own worksheets and links to the separately versioned PG Ledger formats. No one has to complete every worksheet.</w:t>
      </w:r>
    </w:p>
    <w:p>
      <w:pPr>
        <w:pStyle w:val="Heading1"/>
        <w:pageBreakBefore/>
      </w:pPr>
      <w:bookmarkStart w:id="1" w:name="guide1"/>
      <w:r>
        <w:t xml:space="preserve">Contents and practical tools</w:t>
      </w:r>
      <w:bookmarkEnd w:id="1"/>
    </w:p>
    <w:p>
      <w:pPr>
        <w:spacing w:line="240" w:lineRule="auto"/>
      </w:pPr>
      <w:r>
        <w:t>The main text is on pages 3–13. The diary’s own worksheets are on pages 14–16. Page 17 links to the five current operational PG Ledger formats.</w:t>
      </w:r>
    </w:p>
    <w:p>
      <w:pPr>
        <w:spacing w:after="34" w:line="240" w:lineRule="auto"/>
      </w:pPr>
      <w:hyperlink w:anchor="guide2">
        <w:r>
          <w:rPr>
            <w:color w:val="286A68"/>
            <w:u w:val="single"/>
          </w:rPr>
          <w:t xml:space="preserve">03   An inquiry from first observation to return</w:t>
        </w:r>
      </w:hyperlink>
    </w:p>
    <w:p>
      <w:pPr>
        <w:spacing w:after="34" w:line="240" w:lineRule="auto"/>
      </w:pPr>
      <w:hyperlink w:anchor="guide3">
        <w:r>
          <w:rPr>
            <w:color w:val="286A68"/>
            <w:u w:val="single"/>
          </w:rPr>
          <w:t xml:space="preserve">04   Diary, shared inquiry and PG Ledger</w:t>
        </w:r>
      </w:hyperlink>
    </w:p>
    <w:p>
      <w:pPr>
        <w:spacing w:after="34" w:line="240" w:lineRule="auto"/>
      </w:pPr>
      <w:hyperlink w:anchor="guide4">
        <w:r>
          <w:rPr>
            <w:color w:val="286A68"/>
            <w:u w:val="single"/>
          </w:rPr>
          <w:t xml:space="preserve">05   The six movements of the learning spiral</w:t>
        </w:r>
      </w:hyperlink>
    </w:p>
    <w:p>
      <w:pPr>
        <w:spacing w:after="34" w:line="240" w:lineRule="auto"/>
      </w:pPr>
      <w:hyperlink w:anchor="guide5">
        <w:r>
          <w:rPr>
            <w:color w:val="286A68"/>
            <w:u w:val="single"/>
          </w:rPr>
          <w:t xml:space="preserve">06   Experience with clear provenance</w:t>
        </w:r>
      </w:hyperlink>
    </w:p>
    <w:p>
      <w:pPr>
        <w:spacing w:after="34" w:line="240" w:lineRule="auto"/>
      </w:pPr>
      <w:hyperlink w:anchor="guide6">
        <w:r>
          <w:rPr>
            <w:color w:val="286A68"/>
            <w:u w:val="single"/>
          </w:rPr>
          <w:t xml:space="preserve">07   Assessments, the unknown and what is not recorded</w:t>
        </w:r>
      </w:hyperlink>
    </w:p>
    <w:p>
      <w:pPr>
        <w:spacing w:after="34" w:line="240" w:lineRule="auto"/>
      </w:pPr>
      <w:hyperlink w:anchor="guide7">
        <w:r>
          <w:rPr>
            <w:color w:val="286A68"/>
            <w:u w:val="single"/>
          </w:rPr>
          <w:t xml:space="preserve">08   From personal contributions to a shared question</w:t>
        </w:r>
      </w:hyperlink>
    </w:p>
    <w:p>
      <w:pPr>
        <w:spacing w:after="34" w:line="240" w:lineRule="auto"/>
      </w:pPr>
      <w:hyperlink w:anchor="guide8">
        <w:r>
          <w:rPr>
            <w:color w:val="286A68"/>
            <w:u w:val="single"/>
          </w:rPr>
          <w:t xml:space="preserve">09   People as critical friends to AI</w:t>
        </w:r>
      </w:hyperlink>
    </w:p>
    <w:p>
      <w:pPr>
        <w:spacing w:after="34" w:line="240" w:lineRule="auto"/>
      </w:pPr>
      <w:hyperlink w:anchor="guide9">
        <w:r>
          <w:rPr>
            <w:color w:val="286A68"/>
            <w:u w:val="single"/>
          </w:rPr>
          <w:t xml:space="preserve">10   Learning activities with a clear purpose</w:t>
        </w:r>
      </w:hyperlink>
    </w:p>
    <w:p>
      <w:pPr>
        <w:spacing w:after="34" w:line="240" w:lineRule="auto"/>
      </w:pPr>
      <w:hyperlink w:anchor="guide10">
        <w:r>
          <w:rPr>
            <w:color w:val="286A68"/>
            <w:u w:val="single"/>
          </w:rPr>
          <w:t xml:space="preserve">11   Organising the work over time</w:t>
        </w:r>
      </w:hyperlink>
    </w:p>
    <w:p>
      <w:pPr>
        <w:spacing w:after="34" w:line="240" w:lineRule="auto"/>
      </w:pPr>
      <w:hyperlink w:anchor="guide11">
        <w:r>
          <w:rPr>
            <w:color w:val="286A68"/>
            <w:u w:val="single"/>
          </w:rPr>
          <w:t xml:space="preserve">12   Stewardship economy and shared possibilities</w:t>
        </w:r>
      </w:hyperlink>
    </w:p>
    <w:p>
      <w:pPr>
        <w:spacing w:after="34" w:line="240" w:lineRule="auto"/>
      </w:pPr>
      <w:hyperlink w:anchor="guide12">
        <w:r>
          <w:rPr>
            <w:color w:val="286A68"/>
            <w:u w:val="single"/>
          </w:rPr>
          <w:t xml:space="preserve">13   Shared memory, responsibility and verification</w:t>
        </w:r>
      </w:hyperlink>
    </w:p>
    <w:p>
      <w:pPr>
        <w:spacing w:after="34" w:line="240" w:lineRule="auto"/>
      </w:pPr>
      <w:hyperlink w:anchor="guide13">
        <w:r>
          <w:rPr>
            <w:color w:val="286A68"/>
            <w:u w:val="single"/>
          </w:rPr>
          <w:t xml:space="preserve">14   Worksheet for my own contribution</w:t>
        </w:r>
      </w:hyperlink>
    </w:p>
    <w:p>
      <w:pPr>
        <w:spacing w:after="34" w:line="240" w:lineRule="auto"/>
      </w:pPr>
      <w:hyperlink w:anchor="guide14">
        <w:r>
          <w:rPr>
            <w:color w:val="286A68"/>
            <w:u w:val="single"/>
          </w:rPr>
          <w:t xml:space="preserve">15   Worksheet for a trial and a return</w:t>
        </w:r>
      </w:hyperlink>
    </w:p>
    <w:p>
      <w:pPr>
        <w:spacing w:after="34" w:line="240" w:lineRule="auto"/>
      </w:pPr>
      <w:hyperlink w:anchor="guide15">
        <w:r>
          <w:rPr>
            <w:color w:val="286A68"/>
            <w:u w:val="single"/>
          </w:rPr>
          <w:t xml:space="preserve">16   Worksheet for AI dialogue and chosen sharing</w:t>
        </w:r>
      </w:hyperlink>
    </w:p>
    <w:p>
      <w:pPr>
        <w:spacing w:after="34" w:line="240" w:lineRule="auto"/>
      </w:pPr>
      <w:hyperlink w:anchor="guide16">
        <w:r>
          <w:rPr>
            <w:color w:val="286A68"/>
            <w:u w:val="single"/>
          </w:rPr>
          <w:t xml:space="preserve">17   PG Ledger · operational formats</w:t>
        </w:r>
      </w:hyperlink>
    </w:p>
    <w:p>
      <w:pPr>
        <w:spacing w:after="34" w:line="240" w:lineRule="auto"/>
      </w:pPr>
      <w:hyperlink w:anchor="guide26">
        <w:r>
          <w:rPr>
            <w:color w:val="286A68"/>
            <w:u w:val="single"/>
          </w:rPr>
          <w:t xml:space="preserve">18   Further reading and terms of use</w:t>
        </w:r>
      </w:hyperlink>
    </w:p>
    <w:p>
      <w:pPr>
        <w:spacing w:line="240" w:lineRule="auto"/>
      </w:pPr>
      <w:r>
        <w:t xml:space="preserve">Who uses what? The diary and supporting sheets are available to everyone. Observation and action, Formats 2 and 3, support the group’s inquiry. Formats 1, 4 and 5 support shared review, decisions and financial records. The people with agreed responsibilities maintain and confirm the records; everyone affected must be able to ask questions and make corrections.</w:t>
      </w:r>
    </w:p>
    <w:p>
      <w:pPr>
        <w:spacing w:line="240" w:lineRule="auto"/>
      </w:pPr>
      <w:r>
        <w:t xml:space="preserve">No one has to complete every sheet. Fields may be left blank and must not be filled by guessing. Use the forms of expression and the amount of documentation the task calls for.</w:t>
      </w:r>
    </w:p>
    <w:p>
      <w:pPr>
        <w:pStyle w:val="Heading1"/>
        <w:pageBreakBefore/>
      </w:pPr>
      <w:bookmarkStart w:id="2" w:name="guide2"/>
      <w:r>
        <w:t xml:space="preserve">An inquiry from first observation to return</w:t>
      </w:r>
      <w:bookmarkEnd w:id="2"/>
    </w:p>
    <w:p>
      <w:r>
        <w:t xml:space="preserve">This illustrative sequence shows how a diary, conversation, tools and action can work together. It is an example to try, not an account of an activity already carried out.</w:t>
      </w:r>
    </w:p>
    <w:p>
      <w:pPr>
        <w:pStyle w:val="Heading2"/>
      </w:pPr>
      <w:r>
        <w:t xml:space="preserve">Something is noticed</w:t>
      </w:r>
    </w:p>
    <w:p>
      <w:r>
        <w:t xml:space="preserve">A grower films a patch of dry soil and explains in her own language what she has noticed. Someone else draws an area that seems moister. They keep their own contributions in the diary with a simple reference. At this stage, they have different observations and possible explanations.</w:t>
      </w:r>
    </w:p>
    <w:p>
      <w:pPr>
        <w:pStyle w:val="Heading2"/>
      </w:pPr>
      <w:r>
        <w:t xml:space="preserve">A shared question takes shape</w:t>
      </w:r>
    </w:p>
    <w:p>
      <w:r>
        <w:t xml:space="preserve">At a meeting they show their selected contributions. The group compares experiences and chooses to investigate soil cover. It explains its choice and keeps other questions for later. AI can help restate the contributions and suggest possible explanations. People check these and correct leaps from observation to claim.</w:t>
      </w:r>
    </w:p>
    <w:p>
      <w:pPr>
        <w:pStyle w:val="Heading2"/>
      </w:pPr>
      <w:r>
        <w:t xml:space="preserve">An action is agreed</w:t>
      </w:r>
    </w:p>
    <w:p>
      <w:r>
        <w:t xml:space="preserve">The group defines a small trial, clarifies the authority needed and agrees time, responsibilities, materials and the next visit. The action sheet preserves the agreement. A diary contribution can be linked to the shared memory by reference without being rewritten.</w:t>
      </w:r>
    </w:p>
    <w:p>
      <w:pPr>
        <w:pStyle w:val="Heading2"/>
      </w:pPr>
      <w:r>
        <w:t xml:space="preserve">The work behind the trial becomes visible</w:t>
      </w:r>
    </w:p>
    <w:p>
      <w:r>
        <w:t xml:space="preserve">A neighbour offers pruning material. The team checks its suitability and agrees transport and ongoing care. It realises that one person would otherwise carry too much work between meetings. The question broadens: how can the necessary care be sustained? A decision and an actual expense are recorded in their respective forms.</w:t>
      </w:r>
    </w:p>
    <w:p>
      <w:pPr>
        <w:pStyle w:val="Heading2"/>
      </w:pPr>
      <w:r>
        <w:t xml:space="preserve">The field and the group respond</w:t>
      </w:r>
    </w:p>
    <w:p>
      <w:r>
        <w:t xml:space="preserve">At the next visit, new observations are compared with the starting point. AI has suggested that less water was used, but this was not measured. The group corrects the text and examines what can be said. Perhaps transport required too much work, or other conditions explain the difference. The trial and the division of work are changed.</w:t>
      </w:r>
    </w:p>
    <w:p>
      <w:pPr>
        <w:pStyle w:val="Heading2"/>
      </w:pPr>
      <w:r>
        <w:t xml:space="preserve">Experience opens the next possibility</w:t>
      </w:r>
    </w:p>
    <w:p>
      <w:r>
        <w:t xml:space="preserve">The group can now invite an adviser or farm school to help investigate a more clearly defined question. A new agreement may provide access to materials, learning or payment for necessary follow-up. On returning, the group examines what actually became possible. The shared understanding is better grounded, while disagreement and uncertainty may remain.</w:t>
      </w:r>
    </w:p>
    <w:p>
      <w:r>
        <w:t xml:space="preserve">The process may take several working days or a season. A better question, a necessary pause or a reasoned decision not to proceed can be an important outcome of returning to the inquiry.</w:t>
      </w:r>
    </w:p>
    <w:p>
      <w:pPr>
        <w:pStyle w:val="Heading1"/>
        <w:pageBreakBefore/>
      </w:pPr>
      <w:bookmarkStart w:id="3" w:name="guide3"/>
      <w:r>
        <w:t xml:space="preserve">Diary, shared inquiry and PG Ledger</w:t>
      </w:r>
      <w:bookmarkEnd w:id="3"/>
    </w:p>
    <w:p>
      <w:r>
        <w:t xml:space="preserve">The diary and ledger hold different parts of the same practice. The diary provides room to notice and investigate. The ledger connects selected material with the shared memory needed for responsibility and follow-up. The learning spiral is the movement through time; it is not another document.</w:t>
      </w:r>
    </w:p>
    <w:tbl>
      <w:tblPr>
        <w:tblW w:type="auto" w:w="0"/>
        <w:tblLayout w:type="fixed"/>
        <w:tblLook w:firstColumn="1" w:firstRow="1" w:lastColumn="0" w:lastRow="0" w:noHBand="0" w:noVBand="1" w:val="04A0"/>
      </w:tblPr>
      <w:tblGrid>
        <w:gridCol w:w="1944"/>
        <w:gridCol w:w="4392"/>
        <w:gridCol w:w="3456"/>
      </w:tblGrid>
      <w:tr>
        <w:trPr>
          <w:tblHeader/>
        </w:trPr>
        <w:tc>
          <w:tcPr>
            <w:tcW w:type="dxa" w:w="3312"/>
            <w:vAlign w:val="center"/>
            <w:tcBorders>
              <w:top w:val="single" w:sz="4" w:color="D9D9D9"/>
              <w:left w:val="single" w:sz="4" w:color="D9D9D9"/>
              <w:bottom w:val="single" w:sz="4" w:color="D9D9D9"/>
              <w:right w:val="single" w:sz="4" w:color="D9D9D9"/>
            </w:tcBorders>
            <w:tcMar>
              <w:top w:w="90" w:type="dxa"/>
              <w:left w:w="90" w:type="dxa"/>
              <w:bottom w:w="90" w:type="dxa"/>
              <w:right w:w="90" w:type="dxa"/>
            </w:tcMar>
            <w:shd w:fill="E7EFF3"/>
          </w:tcPr>
          <w:p>
            <w:pPr>
              <w:spacing w:after="60" w:line="252" w:lineRule="auto"/>
            </w:pPr>
            <w:r>
              <w:rPr>
                <w:b/>
                <w:sz w:val="20"/>
              </w:rPr>
              <w:t xml:space="preserve">Part</w:t>
            </w:r>
          </w:p>
        </w:tc>
        <w:tc>
          <w:tcPr>
            <w:tcW w:type="dxa" w:w="3312"/>
            <w:vAlign w:val="center"/>
            <w:tcBorders>
              <w:top w:val="single" w:sz="4" w:color="D9D9D9"/>
              <w:left w:val="single" w:sz="4" w:color="D9D9D9"/>
              <w:bottom w:val="single" w:sz="4" w:color="D9D9D9"/>
              <w:right w:val="single" w:sz="4" w:color="D9D9D9"/>
            </w:tcBorders>
            <w:tcMar>
              <w:top w:w="90" w:type="dxa"/>
              <w:left w:w="90" w:type="dxa"/>
              <w:bottom w:w="90" w:type="dxa"/>
              <w:right w:w="90" w:type="dxa"/>
            </w:tcMar>
            <w:shd w:fill="E7EFF3"/>
          </w:tcPr>
          <w:p>
            <w:pPr>
              <w:spacing w:after="60" w:line="252" w:lineRule="auto"/>
            </w:pPr>
            <w:r>
              <w:rPr>
                <w:b/>
                <w:sz w:val="20"/>
              </w:rPr>
              <w:t xml:space="preserve">Function</w:t>
            </w:r>
          </w:p>
        </w:tc>
        <w:tc>
          <w:tcPr>
            <w:tcW w:type="dxa" w:w="3312"/>
            <w:vAlign w:val="center"/>
            <w:tcBorders>
              <w:top w:val="single" w:sz="4" w:color="D9D9D9"/>
              <w:left w:val="single" w:sz="4" w:color="D9D9D9"/>
              <w:bottom w:val="single" w:sz="4" w:color="D9D9D9"/>
              <w:right w:val="single" w:sz="4" w:color="D9D9D9"/>
            </w:tcBorders>
            <w:tcMar>
              <w:top w:w="90" w:type="dxa"/>
              <w:left w:w="90" w:type="dxa"/>
              <w:bottom w:w="90" w:type="dxa"/>
              <w:right w:w="90" w:type="dxa"/>
            </w:tcMar>
            <w:shd w:fill="E7EFF3"/>
          </w:tcPr>
          <w:p>
            <w:pPr>
              <w:spacing w:after="60" w:line="252" w:lineRule="auto"/>
            </w:pPr>
            <w:r>
              <w:rPr>
                <w:b/>
                <w:sz w:val="20"/>
              </w:rPr>
              <w:t xml:space="preserve">A concrete example</w:t>
            </w:r>
          </w:p>
        </w:tc>
      </w:tr>
      <w:tr>
        <w:tc>
          <w:tcPr>
            <w:tcW w:type="dxa" w:w="1944"/>
            <w:vAlign w:val="center"/>
            <w:tcBorders>
              <w:top w:val="single" w:sz="4" w:color="D9D9D9"/>
              <w:left w:val="single" w:sz="4" w:color="D9D9D9"/>
              <w:bottom w:val="single" w:sz="4" w:color="D9D9D9"/>
              <w:right w:val="single" w:sz="4" w:color="D9D9D9"/>
            </w:tcBorders>
            <w:tcMar>
              <w:top w:w="90" w:type="dxa"/>
              <w:left w:w="90" w:type="dxa"/>
              <w:bottom w:w="90" w:type="dxa"/>
              <w:right w:w="90" w:type="dxa"/>
            </w:tcMar>
          </w:tcPr>
          <w:p>
            <w:pPr>
              <w:spacing w:after="60" w:line="252" w:lineRule="auto"/>
            </w:pPr>
            <w:r>
              <w:rPr>
                <w:b w:val="0"/>
                <w:sz w:val="20"/>
              </w:rPr>
              <w:t xml:space="preserve">My diary</w:t>
            </w:r>
          </w:p>
        </w:tc>
        <w:tc>
          <w:tcPr>
            <w:tcW w:type="dxa" w:w="4392"/>
            <w:vAlign w:val="center"/>
            <w:tcBorders>
              <w:top w:val="single" w:sz="4" w:color="D9D9D9"/>
              <w:left w:val="single" w:sz="4" w:color="D9D9D9"/>
              <w:bottom w:val="single" w:sz="4" w:color="D9D9D9"/>
              <w:right w:val="single" w:sz="4" w:color="D9D9D9"/>
            </w:tcBorders>
            <w:tcMar>
              <w:top w:w="90" w:type="dxa"/>
              <w:left w:w="90" w:type="dxa"/>
              <w:bottom w:w="90" w:type="dxa"/>
              <w:right w:w="90" w:type="dxa"/>
            </w:tcMar>
          </w:tcPr>
          <w:p>
            <w:pPr>
              <w:spacing w:after="60" w:line="252" w:lineRule="auto"/>
            </w:pPr>
            <w:r>
              <w:rPr>
                <w:b w:val="0"/>
                <w:sz w:val="20"/>
              </w:rPr>
              <w:t xml:space="preserve">My observations, questions, trials and reflections in my chosen media.</w:t>
            </w:r>
          </w:p>
        </w:tc>
        <w:tc>
          <w:tcPr>
            <w:tcW w:type="dxa" w:w="3456"/>
            <w:vAlign w:val="center"/>
            <w:tcBorders>
              <w:top w:val="single" w:sz="4" w:color="D9D9D9"/>
              <w:left w:val="single" w:sz="4" w:color="D9D9D9"/>
              <w:bottom w:val="single" w:sz="4" w:color="D9D9D9"/>
              <w:right w:val="single" w:sz="4" w:color="D9D9D9"/>
            </w:tcBorders>
            <w:tcMar>
              <w:top w:w="90" w:type="dxa"/>
              <w:left w:w="90" w:type="dxa"/>
              <w:bottom w:w="90" w:type="dxa"/>
              <w:right w:w="90" w:type="dxa"/>
            </w:tcMar>
          </w:tcPr>
          <w:p>
            <w:pPr>
              <w:spacing w:after="60" w:line="252" w:lineRule="auto"/>
            </w:pPr>
            <w:r>
              <w:rPr>
                <w:b w:val="0"/>
                <w:sz w:val="20"/>
              </w:rPr>
              <w:t xml:space="preserve">A video of water moving, with my explanation.</w:t>
            </w:r>
          </w:p>
        </w:tc>
      </w:tr>
      <w:tr>
        <w:tc>
          <w:tcPr>
            <w:tcW w:type="dxa" w:w="1944"/>
            <w:vAlign w:val="center"/>
            <w:tcBorders>
              <w:top w:val="single" w:sz="4" w:color="D9D9D9"/>
              <w:left w:val="single" w:sz="4" w:color="D9D9D9"/>
              <w:bottom w:val="single" w:sz="4" w:color="D9D9D9"/>
              <w:right w:val="single" w:sz="4" w:color="D9D9D9"/>
            </w:tcBorders>
            <w:tcMar>
              <w:top w:w="90" w:type="dxa"/>
              <w:left w:w="90" w:type="dxa"/>
              <w:bottom w:w="90" w:type="dxa"/>
              <w:right w:w="90" w:type="dxa"/>
            </w:tcMar>
          </w:tcPr>
          <w:p>
            <w:pPr>
              <w:spacing w:after="60" w:line="252" w:lineRule="auto"/>
            </w:pPr>
            <w:r>
              <w:rPr>
                <w:b w:val="0"/>
                <w:sz w:val="20"/>
              </w:rPr>
              <w:t xml:space="preserve">Shared inquiry</w:t>
            </w:r>
          </w:p>
        </w:tc>
        <w:tc>
          <w:tcPr>
            <w:tcW w:type="dxa" w:w="4392"/>
            <w:vAlign w:val="center"/>
            <w:tcBorders>
              <w:top w:val="single" w:sz="4" w:color="D9D9D9"/>
              <w:left w:val="single" w:sz="4" w:color="D9D9D9"/>
              <w:bottom w:val="single" w:sz="4" w:color="D9D9D9"/>
              <w:right w:val="single" w:sz="4" w:color="D9D9D9"/>
            </w:tcBorders>
            <w:tcMar>
              <w:top w:w="90" w:type="dxa"/>
              <w:left w:w="90" w:type="dxa"/>
              <w:bottom w:w="90" w:type="dxa"/>
              <w:right w:w="90" w:type="dxa"/>
            </w:tcMar>
          </w:tcPr>
          <w:p>
            <w:pPr>
              <w:spacing w:after="60" w:line="252" w:lineRule="auto"/>
            </w:pPr>
            <w:r>
              <w:rPr>
                <w:b w:val="0"/>
                <w:sz w:val="20"/>
              </w:rPr>
              <w:t xml:space="preserve">Conversation, comparison and checking against knowledge that can inform a chosen question.</w:t>
            </w:r>
          </w:p>
        </w:tc>
        <w:tc>
          <w:tcPr>
            <w:tcW w:type="dxa" w:w="3456"/>
            <w:vAlign w:val="center"/>
            <w:tcBorders>
              <w:top w:val="single" w:sz="4" w:color="D9D9D9"/>
              <w:left w:val="single" w:sz="4" w:color="D9D9D9"/>
              <w:bottom w:val="single" w:sz="4" w:color="D9D9D9"/>
              <w:right w:val="single" w:sz="4" w:color="D9D9D9"/>
            </w:tcBorders>
            <w:tcMar>
              <w:top w:w="90" w:type="dxa"/>
              <w:left w:w="90" w:type="dxa"/>
              <w:bottom w:w="90" w:type="dxa"/>
              <w:right w:w="90" w:type="dxa"/>
            </w:tcMar>
          </w:tcPr>
          <w:p>
            <w:pPr>
              <w:spacing w:after="60" w:line="252" w:lineRule="auto"/>
            </w:pPr>
            <w:r>
              <w:rPr>
                <w:b w:val="0"/>
                <w:sz w:val="20"/>
              </w:rPr>
              <w:t xml:space="preserve">We investigate why water gathers here.</w:t>
            </w:r>
          </w:p>
        </w:tc>
      </w:tr>
      <w:tr>
        <w:tc>
          <w:tcPr>
            <w:tcW w:type="dxa" w:w="1944"/>
            <w:vAlign w:val="center"/>
            <w:tcBorders>
              <w:top w:val="single" w:sz="4" w:color="D9D9D9"/>
              <w:left w:val="single" w:sz="4" w:color="D9D9D9"/>
              <w:bottom w:val="single" w:sz="4" w:color="D9D9D9"/>
              <w:right w:val="single" w:sz="4" w:color="D9D9D9"/>
            </w:tcBorders>
            <w:tcMar>
              <w:top w:w="90" w:type="dxa"/>
              <w:left w:w="90" w:type="dxa"/>
              <w:bottom w:w="90" w:type="dxa"/>
              <w:right w:w="90" w:type="dxa"/>
            </w:tcMar>
          </w:tcPr>
          <w:p>
            <w:pPr>
              <w:spacing w:after="60" w:line="252" w:lineRule="auto"/>
            </w:pPr>
            <w:r>
              <w:rPr>
                <w:b w:val="0"/>
                <w:sz w:val="20"/>
              </w:rPr>
              <w:t xml:space="preserve">PG Ledger</w:t>
            </w:r>
          </w:p>
        </w:tc>
        <w:tc>
          <w:tcPr>
            <w:tcW w:type="dxa" w:w="4392"/>
            <w:vAlign w:val="center"/>
            <w:tcBorders>
              <w:top w:val="single" w:sz="4" w:color="D9D9D9"/>
              <w:left w:val="single" w:sz="4" w:color="D9D9D9"/>
              <w:bottom w:val="single" w:sz="4" w:color="D9D9D9"/>
              <w:right w:val="single" w:sz="4" w:color="D9D9D9"/>
            </w:tcBorders>
            <w:tcMar>
              <w:top w:w="90" w:type="dxa"/>
              <w:left w:w="90" w:type="dxa"/>
              <w:bottom w:w="90" w:type="dxa"/>
              <w:right w:w="90" w:type="dxa"/>
            </w:tcMar>
          </w:tcPr>
          <w:p>
            <w:pPr>
              <w:spacing w:after="60" w:line="252" w:lineRule="auto"/>
            </w:pPr>
            <w:r>
              <w:rPr>
                <w:b w:val="0"/>
                <w:sz w:val="20"/>
              </w:rPr>
              <w:t xml:space="preserve">An agreed, correctable memory of the basis for work, responsibilities, resources and later consequences.</w:t>
            </w:r>
          </w:p>
        </w:tc>
        <w:tc>
          <w:tcPr>
            <w:tcW w:type="dxa" w:w="3456"/>
            <w:vAlign w:val="center"/>
            <w:tcBorders>
              <w:top w:val="single" w:sz="4" w:color="D9D9D9"/>
              <w:left w:val="single" w:sz="4" w:color="D9D9D9"/>
              <w:bottom w:val="single" w:sz="4" w:color="D9D9D9"/>
              <w:right w:val="single" w:sz="4" w:color="D9D9D9"/>
            </w:tcBorders>
            <w:tcMar>
              <w:top w:w="90" w:type="dxa"/>
              <w:left w:w="90" w:type="dxa"/>
              <w:bottom w:w="90" w:type="dxa"/>
              <w:right w:w="90" w:type="dxa"/>
            </w:tcMar>
          </w:tcPr>
          <w:p>
            <w:pPr>
              <w:spacing w:after="60" w:line="252" w:lineRule="auto"/>
            </w:pPr>
            <w:r>
              <w:rPr>
                <w:b w:val="0"/>
                <w:sz w:val="20"/>
              </w:rPr>
              <w:t xml:space="preserve">The observation is connected with an action and a later visit.</w:t>
            </w:r>
          </w:p>
        </w:tc>
      </w:tr>
      <w:tr>
        <w:tc>
          <w:tcPr>
            <w:tcW w:type="dxa" w:w="1944"/>
            <w:vAlign w:val="center"/>
            <w:tcBorders>
              <w:top w:val="single" w:sz="4" w:color="D9D9D9"/>
              <w:left w:val="single" w:sz="4" w:color="D9D9D9"/>
              <w:bottom w:val="single" w:sz="4" w:color="D9D9D9"/>
              <w:right w:val="single" w:sz="4" w:color="D9D9D9"/>
            </w:tcBorders>
            <w:tcMar>
              <w:top w:w="90" w:type="dxa"/>
              <w:left w:w="90" w:type="dxa"/>
              <w:bottom w:w="90" w:type="dxa"/>
              <w:right w:w="90" w:type="dxa"/>
            </w:tcMar>
          </w:tcPr>
          <w:p>
            <w:pPr>
              <w:spacing w:after="60" w:line="252" w:lineRule="auto"/>
            </w:pPr>
            <w:r>
              <w:rPr>
                <w:b w:val="0"/>
                <w:sz w:val="20"/>
              </w:rPr>
              <w:t xml:space="preserve">Five operational formats</w:t>
            </w:r>
          </w:p>
        </w:tc>
        <w:tc>
          <w:tcPr>
            <w:tcW w:type="dxa" w:w="4392"/>
            <w:vAlign w:val="center"/>
            <w:tcBorders>
              <w:top w:val="single" w:sz="4" w:color="D9D9D9"/>
              <w:left w:val="single" w:sz="4" w:color="D9D9D9"/>
              <w:bottom w:val="single" w:sz="4" w:color="D9D9D9"/>
              <w:right w:val="single" w:sz="4" w:color="D9D9D9"/>
            </w:tcBorders>
            <w:tcMar>
              <w:top w:w="90" w:type="dxa"/>
              <w:left w:w="90" w:type="dxa"/>
              <w:bottom w:w="90" w:type="dxa"/>
              <w:right w:w="90" w:type="dxa"/>
            </w:tcMar>
          </w:tcPr>
          <w:p>
            <w:pPr>
              <w:spacing w:after="60" w:line="252" w:lineRule="auto"/>
            </w:pPr>
            <w:r>
              <w:rPr>
                <w:b w:val="0"/>
                <w:sz w:val="20"/>
              </w:rPr>
              <w:t xml:space="preserve">Tools for particular situations within the shared memory.</w:t>
            </w:r>
          </w:p>
        </w:tc>
        <w:tc>
          <w:tcPr>
            <w:tcW w:type="dxa" w:w="3456"/>
            <w:vAlign w:val="center"/>
            <w:tcBorders>
              <w:top w:val="single" w:sz="4" w:color="D9D9D9"/>
              <w:left w:val="single" w:sz="4" w:color="D9D9D9"/>
              <w:bottom w:val="single" w:sz="4" w:color="D9D9D9"/>
              <w:right w:val="single" w:sz="4" w:color="D9D9D9"/>
            </w:tcBorders>
            <w:tcMar>
              <w:top w:w="90" w:type="dxa"/>
              <w:left w:w="90" w:type="dxa"/>
              <w:bottom w:w="90" w:type="dxa"/>
              <w:right w:w="90" w:type="dxa"/>
            </w:tcMar>
          </w:tcPr>
          <w:p>
            <w:pPr>
              <w:spacing w:after="60" w:line="252" w:lineRule="auto"/>
            </w:pPr>
            <w:r>
              <w:rPr>
                <w:b w:val="0"/>
                <w:sz w:val="20"/>
              </w:rPr>
              <w:t xml:space="preserve">One sheet records an action; another an expense.</w:t>
            </w:r>
          </w:p>
        </w:tc>
      </w:tr>
      <w:tr>
        <w:tc>
          <w:tcPr>
            <w:tcW w:type="dxa" w:w="1944"/>
            <w:vAlign w:val="center"/>
            <w:tcBorders>
              <w:top w:val="single" w:sz="4" w:color="D9D9D9"/>
              <w:left w:val="single" w:sz="4" w:color="D9D9D9"/>
              <w:bottom w:val="single" w:sz="4" w:color="D9D9D9"/>
              <w:right w:val="single" w:sz="4" w:color="D9D9D9"/>
            </w:tcBorders>
            <w:tcMar>
              <w:top w:w="90" w:type="dxa"/>
              <w:left w:w="90" w:type="dxa"/>
              <w:bottom w:w="90" w:type="dxa"/>
              <w:right w:w="90" w:type="dxa"/>
            </w:tcMar>
          </w:tcPr>
          <w:p>
            <w:pPr>
              <w:spacing w:after="60" w:line="252" w:lineRule="auto"/>
            </w:pPr>
            <w:r>
              <w:rPr>
                <w:b w:val="0"/>
                <w:sz w:val="20"/>
              </w:rPr>
              <w:t xml:space="preserve">Return</w:t>
            </w:r>
          </w:p>
        </w:tc>
        <w:tc>
          <w:tcPr>
            <w:tcW w:type="dxa" w:w="4392"/>
            <w:vAlign w:val="center"/>
            <w:tcBorders>
              <w:top w:val="single" w:sz="4" w:color="D9D9D9"/>
              <w:left w:val="single" w:sz="4" w:color="D9D9D9"/>
              <w:bottom w:val="single" w:sz="4" w:color="D9D9D9"/>
              <w:right w:val="single" w:sz="4" w:color="D9D9D9"/>
            </w:tcBorders>
            <w:tcMar>
              <w:top w:w="90" w:type="dxa"/>
              <w:left w:w="90" w:type="dxa"/>
              <w:bottom w:w="90" w:type="dxa"/>
              <w:right w:w="90" w:type="dxa"/>
            </w:tcMar>
          </w:tcPr>
          <w:p>
            <w:pPr>
              <w:spacing w:after="60" w:line="252" w:lineRule="auto"/>
            </w:pPr>
            <w:r>
              <w:rPr>
                <w:b w:val="0"/>
                <w:sz w:val="20"/>
              </w:rPr>
              <w:t xml:space="preserve">Experience can change understanding, agreements and next steps.</w:t>
            </w:r>
          </w:p>
        </w:tc>
        <w:tc>
          <w:tcPr>
            <w:tcW w:type="dxa" w:w="3456"/>
            <w:vAlign w:val="center"/>
            <w:tcBorders>
              <w:top w:val="single" w:sz="4" w:color="D9D9D9"/>
              <w:left w:val="single" w:sz="4" w:color="D9D9D9"/>
              <w:bottom w:val="single" w:sz="4" w:color="D9D9D9"/>
              <w:right w:val="single" w:sz="4" w:color="D9D9D9"/>
            </w:tcBorders>
            <w:tcMar>
              <w:top w:w="90" w:type="dxa"/>
              <w:left w:w="90" w:type="dxa"/>
              <w:bottom w:w="90" w:type="dxa"/>
              <w:right w:w="90" w:type="dxa"/>
            </w:tcMar>
          </w:tcPr>
          <w:p>
            <w:pPr>
              <w:spacing w:after="60" w:line="252" w:lineRule="auto"/>
            </w:pPr>
            <w:r>
              <w:rPr>
                <w:b w:val="0"/>
                <w:sz w:val="20"/>
              </w:rPr>
              <w:t xml:space="preserve">After rain, we review the trial and change it.</w:t>
            </w:r>
          </w:p>
        </w:tc>
      </w:tr>
    </w:tbl>
    <w:p/>
    <w:p>
      <w:pPr>
        <w:pStyle w:val="Heading2"/>
      </w:pPr>
      <w:r>
        <w:t xml:space="preserve">When diary material becomes relevant to the ledger</w:t>
      </w:r>
    </w:p>
    <w:p>
      <w:r>
        <w:t xml:space="preserve">When the group has a clear purpose for retrieving a contribution and connecting it with shared work, it agrees which part to include, who has access and how it can be corrected. A reference to the original may be enough. Personal material does not automatically become shared, and the whole diary never has to be included.</w:t>
      </w:r>
    </w:p>
    <w:p>
      <w:pPr>
        <w:pStyle w:val="Heading2"/>
      </w:pPr>
      <w:r>
        <w:t xml:space="preserve">What makes the ledger a living memory</w:t>
      </w:r>
    </w:p>
    <w:p>
      <w:r>
        <w:t xml:space="preserve">A single sheet is a record. Connected records become a useful memory when their connections, sources and responsibilities can be traced. </w:t>
      </w:r>
      <w:hyperlink r:id="rId16">
        <w:r>
          <w:rPr>
            <w:color w:val="286A68"/>
            <w:u w:val="single"/>
          </w:rPr>
          <w:t xml:space="preserve">PG Ledger</w:t>
        </w:r>
      </w:hyperlink>
      <w:r>
        <w:t xml:space="preserve"> comes alive through return: people investigate what happened next and let the findings change their next step. Five completed forms do not in themselves establish this practice.</w:t>
      </w:r>
    </w:p>
    <w:p>
      <w:r>
        <w:t xml:space="preserve">A personal diary may remain independent. Shared work can also begin with an existing local record-keeping system or a conversation. Experience matters before it is recorded; a sheet is not a condition for being heard. What matters is the connection between experience, agreement, action and correction.</w:t>
      </w:r>
    </w:p>
    <w:p>
      <w:pPr>
        <w:pStyle w:val="Heading1"/>
        <w:pageBreakBefore/>
      </w:pPr>
      <w:bookmarkStart w:id="4" w:name="guide4"/>
      <w:r>
        <w:t xml:space="preserve">The six movements of the learning spiral</w:t>
      </w:r>
      <w:bookmarkEnd w:id="4"/>
    </w:p>
    <w:p>
      <w:r>
        <w:t xml:space="preserve">Learning arises through repeated engagement with a question, its practical consequences and other people’s experience. A turn of the spiral may last a conversation, several working days or a season. The sequence offers direction; pace and return follow the needs of the inquiry.</w:t>
      </w:r>
    </w:p>
    <w:p>
      <w:r>
        <w:drawing>
          <wp:inline xmlns:a="http://schemas.openxmlformats.org/drawingml/2006/main" xmlns:pic="http://schemas.openxmlformats.org/drawingml/2006/picture">
            <wp:extent cx="6217920" cy="3100414"/>
            <wp:docPr id="2" name="Picture 2" descr="Six movements return to the same place with new experience and a different next step."/>
            <wp:cNvGraphicFramePr>
              <a:graphicFrameLocks noChangeAspect="1"/>
            </wp:cNvGraphicFramePr>
            <a:graphic>
              <a:graphicData uri="http://schemas.openxmlformats.org/drawingml/2006/picture">
                <pic:pic>
                  <pic:nvPicPr>
                    <pic:cNvPr id="0" name="spiral.png"/>
                    <pic:cNvPicPr/>
                  </pic:nvPicPr>
                  <pic:blipFill>
                    <a:blip r:embed="rId12"/>
                    <a:stretch>
                      <a:fillRect/>
                    </a:stretch>
                  </pic:blipFill>
                  <pic:spPr>
                    <a:xfrm>
                      <a:off x="0" y="0"/>
                      <a:ext cx="6217920" cy="3100414"/>
                    </a:xfrm>
                    <a:prstGeom prst="rect"/>
                  </pic:spPr>
                </pic:pic>
              </a:graphicData>
            </a:graphic>
          </wp:inline>
        </w:drawing>
      </w:r>
    </w:p>
    <w:p>
      <w:r>
        <w:t xml:space="preserve">1. Arrive and listen. Who and what is here, and what experience do we bring?</w:t>
      </w:r>
    </w:p>
    <w:p>
      <w:r>
        <w:t xml:space="preserve">2. Shape a question together. What do we want to understand or change?</w:t>
      </w:r>
    </w:p>
    <w:p>
      <w:r>
        <w:t xml:space="preserve">3. Open explanations and possibilities. Which interpretations and alternatives should we investigate?</w:t>
      </w:r>
    </w:p>
    <w:p>
      <w:r>
        <w:t xml:space="preserve">4. Make an action possible. What will we try, with which resources and responsibilities?</w:t>
      </w:r>
    </w:p>
    <w:p>
      <w:r>
        <w:t xml:space="preserve">5. Meet what actually happens. What do we observe, including what surprises us?</w:t>
      </w:r>
    </w:p>
    <w:p>
      <w:r>
        <w:t xml:space="preserve">6. Return and let experience change how we work. What should continue, change or end?</w:t>
      </w:r>
    </w:p>
    <w:p>
      <w:pPr>
        <w:pStyle w:val="Heading2"/>
      </w:pPr>
      <w:r>
        <w:t xml:space="preserve">A provisional expectation connects the work</w:t>
      </w:r>
    </w:p>
    <w:p>
      <w:r>
        <w:t xml:space="preserve">A </w:t>
      </w:r>
      <w:hyperlink r:id="rId17">
        <w:r>
          <w:rPr>
            <w:color w:val="286A68"/>
            <w:u w:val="single"/>
          </w:rPr>
          <w:t xml:space="preserve">working wager</w:t>
        </w:r>
      </w:hyperlink>
      <w:r>
        <w:t xml:space="preserve"> states what the group expects and what could lead it to change its understanding. It connects the question with action, learning, resources and later review. For example: a particular soil cover is expected to retain moisture if the material is suitable and the work can be sustained. Examine plant conditions, alternative explanations and the actual workload.</w:t>
      </w:r>
    </w:p>
    <w:p>
      <w:pPr>
        <w:pStyle w:val="Heading1"/>
        <w:pageBreakBefore/>
      </w:pPr>
      <w:bookmarkStart w:id="5" w:name="guide5"/>
      <w:r>
        <w:t xml:space="preserve">Experience with clear provenance</w:t>
      </w:r>
      <w:bookmarkEnd w:id="5"/>
    </w:p>
    <w:p>
      <w:r>
        <w:t xml:space="preserve">A personal field diary may use paper, audio, images or video. Each person chooses how to express themselves. The shared field diary holds selected contributions and agreements worth keeping. Differences between contributions are preserved. A host, employer or facilitator cannot speak for other people’s experiences.</w:t>
      </w:r>
    </w:p>
    <w:p>
      <w:pPr>
        <w:pStyle w:val="Heading2"/>
      </w:pPr>
      <w:r>
        <w:t xml:space="preserve">Observation before synthesis</w:t>
      </w:r>
    </w:p>
    <w:p>
      <w:r>
        <w:t xml:space="preserve">Begin with what a person notices, does or wants to show. Attach a date, place and source to material that needs to be retrieved. A reference might be B01: first visit on [date] at [place]; photos and audio can be labelled B01-photo and B01-audio. The group chooses its own system and protects sensitive places and identities.</w:t>
      </w:r>
    </w:p>
    <w:p>
      <w:r>
        <w:t xml:space="preserve">“Three plants have yellow leaves” is an observation. “I think they lack water” is an interpretation. Experience is already knowledge that repetition, measurement and other experiences can correct. A recording preserves the contribution; it does not by itself prove the explanation.</w:t>
      </w:r>
    </w:p>
    <w:p>
      <w:pPr>
        <w:pStyle w:val="Heading2"/>
      </w:pPr>
      <w:r>
        <w:t xml:space="preserve">Help with expression and confirmation</w:t>
      </w:r>
    </w:p>
    <w:p>
      <w:r>
        <w:t xml:space="preserve">When someone helps with writing, translation or recording, the person’s own words and meaning are preserved. The resulting account is returned to that person to correct or confirm. Where documentation matters, it identifies any assistance and translation involved. The original is kept when an explanation changes. An oral correction has the same standing as a written one and must be able to change the work.</w:t>
      </w:r>
    </w:p>
    <w:p>
      <w:pPr>
        <w:pStyle w:val="Heading2"/>
      </w:pPr>
      <w:r>
        <w:t xml:space="preserve">Personal control and shared devices</w:t>
      </w:r>
    </w:p>
    <w:p>
      <w:r>
        <w:t xml:space="preserve">Personal storage, group access, AI processing and publication are separate choices with specified purposes and recipients. Some things can remain unrecorded. Necessary information about finance and safety is defined and explained separately.</w:t>
      </w:r>
    </w:p>
    <w:p>
      <w:r>
        <w:t xml:space="preserve">As a default, do not share identifiable images of children. Any exception requires prior clarification of applicable rules, relevant parental or guardian consent and the child’s own views according to age and maturity. The child’s privacy and safety take priority.</w:t>
      </w:r>
    </w:p>
    <w:p>
      <w:r>
        <w:t xml:space="preserve">Agree responsibility, access, storage, synchronisation and removal of copies on shared devices. Secure an agreed copy before deletion. Before external AI processing, establish what will be sent and the service’s terms for storage and further use. Send only the selected material that is necessary.</w:t>
      </w:r>
    </w:p>
    <w:p>
      <w:pPr>
        <w:pStyle w:val="Heading2"/>
      </w:pPr>
      <w:r>
        <w:t xml:space="preserve">Time is part of the task</w:t>
      </w:r>
    </w:p>
    <w:p>
      <w:r>
        <w:t xml:space="preserve">In Learning with Living Places, agreed observation, diary work and shared interpretation are included in paid learning and working time. Additional contributions are voluntary. Other groups agree a realistic workload. Documentation should support the work and be simplified when it becomes a burden.</w:t>
      </w:r>
    </w:p>
    <w:p>
      <w:pPr>
        <w:pStyle w:val="Heading1"/>
        <w:pageBreakBefore/>
      </w:pPr>
      <w:bookmarkStart w:id="6" w:name="guide6"/>
      <w:r>
        <w:t xml:space="preserve">Assessments, the unknown and what is not recorded</w:t>
      </w:r>
      <w:bookmarkEnd w:id="6"/>
    </w:p>
    <w:p>
      <w:r>
        <w:t xml:space="preserve">An assessment concerns a particular condition at a particular time. A decision about recording concerns what is to be kept at all. These are different matters.</w:t>
      </w:r>
    </w:p>
    <w:p>
      <w:pPr>
        <w:pStyle w:val="Heading2"/>
      </w:pPr>
      <w:r>
        <w:t xml:space="preserve">Traffic lights express a reasoned human judgement</w:t>
      </w:r>
    </w:p>
    <w:tbl>
      <w:tblPr>
        <w:tblW w:type="auto" w:w="0"/>
        <w:tblLayout w:type="fixed"/>
        <w:tblLook w:firstColumn="1" w:firstRow="1" w:lastColumn="0" w:lastRow="0" w:noHBand="0" w:noVBand="1" w:val="04A0"/>
      </w:tblPr>
      <w:tblGrid>
        <w:gridCol w:w="1440"/>
        <w:gridCol w:w="8352"/>
      </w:tblGrid>
      <w:tr>
        <w:trPr>
          <w:tblHeader/>
        </w:trPr>
        <w:tc>
          <w:tcPr>
            <w:tcW w:type="dxa" w:w="4968"/>
            <w:vAlign w:val="center"/>
            <w:tcBorders>
              <w:top w:val="single" w:sz="4" w:color="D9D9D9"/>
              <w:left w:val="single" w:sz="4" w:color="D9D9D9"/>
              <w:bottom w:val="single" w:sz="4" w:color="D9D9D9"/>
              <w:right w:val="single" w:sz="4" w:color="D9D9D9"/>
            </w:tcBorders>
            <w:tcMar>
              <w:top w:w="100" w:type="dxa"/>
              <w:left w:w="100" w:type="dxa"/>
              <w:bottom w:w="100" w:type="dxa"/>
              <w:right w:w="100" w:type="dxa"/>
            </w:tcMar>
            <w:shd w:fill="E7EFF3"/>
          </w:tcPr>
          <w:p>
            <w:pPr>
              <w:spacing w:after="60" w:line="252" w:lineRule="auto"/>
            </w:pPr>
            <w:r>
              <w:rPr>
                <w:b/>
                <w:sz w:val="20"/>
              </w:rPr>
              <w:t xml:space="preserve">Assessment</w:t>
            </w:r>
          </w:p>
        </w:tc>
        <w:tc>
          <w:tcPr>
            <w:tcW w:type="dxa" w:w="4968"/>
            <w:vAlign w:val="center"/>
            <w:tcBorders>
              <w:top w:val="single" w:sz="4" w:color="D9D9D9"/>
              <w:left w:val="single" w:sz="4" w:color="D9D9D9"/>
              <w:bottom w:val="single" w:sz="4" w:color="D9D9D9"/>
              <w:right w:val="single" w:sz="4" w:color="D9D9D9"/>
            </w:tcBorders>
            <w:tcMar>
              <w:top w:w="100" w:type="dxa"/>
              <w:left w:w="100" w:type="dxa"/>
              <w:bottom w:w="100" w:type="dxa"/>
              <w:right w:w="100" w:type="dxa"/>
            </w:tcMar>
            <w:shd w:fill="E7EFF3"/>
          </w:tcPr>
          <w:p>
            <w:pPr>
              <w:spacing w:after="60" w:line="252" w:lineRule="auto"/>
            </w:pPr>
            <w:r>
              <w:rPr>
                <w:b/>
                <w:sz w:val="20"/>
              </w:rPr>
              <w:t xml:space="preserve">Meaning for the next step</w:t>
            </w:r>
          </w:p>
        </w:tc>
      </w:tr>
      <w:tr>
        <w:tc>
          <w:tcPr>
            <w:tcW w:type="dxa" w:w="1440"/>
            <w:vAlign w:val="center"/>
            <w:tcBorders>
              <w:top w:val="single" w:sz="4" w:color="D9D9D9"/>
              <w:left w:val="single" w:sz="4" w:color="D9D9D9"/>
              <w:bottom w:val="single" w:sz="4" w:color="D9D9D9"/>
              <w:right w:val="single" w:sz="4" w:color="D9D9D9"/>
            </w:tcBorders>
            <w:tcMar>
              <w:top w:w="100" w:type="dxa"/>
              <w:left w:w="100" w:type="dxa"/>
              <w:bottom w:w="100" w:type="dxa"/>
              <w:right w:w="100" w:type="dxa"/>
            </w:tcMar>
          </w:tcPr>
          <w:p>
            <w:pPr>
              <w:spacing w:after="60" w:line="252" w:lineRule="auto"/>
            </w:pPr>
            <w:r>
              <w:rPr>
                <w:b w:val="0"/>
                <w:sz w:val="20"/>
              </w:rPr>
              <w:t xml:space="preserve">Green</w:t>
            </w:r>
          </w:p>
        </w:tc>
        <w:tc>
          <w:tcPr>
            <w:tcW w:type="dxa" w:w="8352"/>
            <w:vAlign w:val="center"/>
            <w:tcBorders>
              <w:top w:val="single" w:sz="4" w:color="D9D9D9"/>
              <w:left w:val="single" w:sz="4" w:color="D9D9D9"/>
              <w:bottom w:val="single" w:sz="4" w:color="D9D9D9"/>
              <w:right w:val="single" w:sz="4" w:color="D9D9D9"/>
            </w:tcBorders>
            <w:tcMar>
              <w:top w:w="100" w:type="dxa"/>
              <w:left w:w="100" w:type="dxa"/>
              <w:bottom w:w="100" w:type="dxa"/>
              <w:right w:w="100" w:type="dxa"/>
            </w:tcMar>
          </w:tcPr>
          <w:p>
            <w:pPr>
              <w:spacing w:after="60" w:line="252" w:lineRule="auto"/>
            </w:pPr>
            <w:r>
              <w:rPr>
                <w:b w:val="0"/>
                <w:sz w:val="20"/>
              </w:rPr>
              <w:t xml:space="preserve">The available basis can support a small next step within the agreed mandate.</w:t>
            </w:r>
          </w:p>
        </w:tc>
      </w:tr>
      <w:tr>
        <w:tc>
          <w:tcPr>
            <w:tcW w:type="dxa" w:w="1440"/>
            <w:vAlign w:val="center"/>
            <w:tcBorders>
              <w:top w:val="single" w:sz="4" w:color="D9D9D9"/>
              <w:left w:val="single" w:sz="4" w:color="D9D9D9"/>
              <w:bottom w:val="single" w:sz="4" w:color="D9D9D9"/>
              <w:right w:val="single" w:sz="4" w:color="D9D9D9"/>
            </w:tcBorders>
            <w:tcMar>
              <w:top w:w="100" w:type="dxa"/>
              <w:left w:w="100" w:type="dxa"/>
              <w:bottom w:w="100" w:type="dxa"/>
              <w:right w:w="100" w:type="dxa"/>
            </w:tcMar>
          </w:tcPr>
          <w:p>
            <w:pPr>
              <w:spacing w:after="60" w:line="252" w:lineRule="auto"/>
            </w:pPr>
            <w:r>
              <w:rPr>
                <w:b w:val="0"/>
                <w:sz w:val="20"/>
              </w:rPr>
              <w:t xml:space="preserve">Yellow</w:t>
            </w:r>
          </w:p>
        </w:tc>
        <w:tc>
          <w:tcPr>
            <w:tcW w:type="dxa" w:w="8352"/>
            <w:vAlign w:val="center"/>
            <w:tcBorders>
              <w:top w:val="single" w:sz="4" w:color="D9D9D9"/>
              <w:left w:val="single" w:sz="4" w:color="D9D9D9"/>
              <w:bottom w:val="single" w:sz="4" w:color="D9D9D9"/>
              <w:right w:val="single" w:sz="4" w:color="D9D9D9"/>
            </w:tcBorders>
            <w:tcMar>
              <w:top w:w="100" w:type="dxa"/>
              <w:left w:w="100" w:type="dxa"/>
              <w:bottom w:w="100" w:type="dxa"/>
              <w:right w:w="100" w:type="dxa"/>
            </w:tcMar>
          </w:tcPr>
          <w:p>
            <w:pPr>
              <w:spacing w:after="60" w:line="252" w:lineRule="auto"/>
            </w:pPr>
            <w:r>
              <w:rPr>
                <w:b w:val="0"/>
                <w:sz w:val="20"/>
              </w:rPr>
              <w:t xml:space="preserve">Conditions need attention, adjustment and a new assessment.</w:t>
            </w:r>
          </w:p>
        </w:tc>
      </w:tr>
      <w:tr>
        <w:tc>
          <w:tcPr>
            <w:tcW w:type="dxa" w:w="1440"/>
            <w:vAlign w:val="center"/>
            <w:tcBorders>
              <w:top w:val="single" w:sz="4" w:color="D9D9D9"/>
              <w:left w:val="single" w:sz="4" w:color="D9D9D9"/>
              <w:bottom w:val="single" w:sz="4" w:color="D9D9D9"/>
              <w:right w:val="single" w:sz="4" w:color="D9D9D9"/>
            </w:tcBorders>
            <w:tcMar>
              <w:top w:w="100" w:type="dxa"/>
              <w:left w:w="100" w:type="dxa"/>
              <w:bottom w:w="100" w:type="dxa"/>
              <w:right w:w="100" w:type="dxa"/>
            </w:tcMar>
          </w:tcPr>
          <w:p>
            <w:pPr>
              <w:spacing w:after="60" w:line="252" w:lineRule="auto"/>
            </w:pPr>
            <w:r>
              <w:rPr>
                <w:b w:val="0"/>
                <w:sz w:val="20"/>
              </w:rPr>
              <w:t xml:space="preserve">Red</w:t>
            </w:r>
          </w:p>
        </w:tc>
        <w:tc>
          <w:tcPr>
            <w:tcW w:type="dxa" w:w="8352"/>
            <w:vAlign w:val="center"/>
            <w:tcBorders>
              <w:top w:val="single" w:sz="4" w:color="D9D9D9"/>
              <w:left w:val="single" w:sz="4" w:color="D9D9D9"/>
              <w:bottom w:val="single" w:sz="4" w:color="D9D9D9"/>
              <w:right w:val="single" w:sz="4" w:color="D9D9D9"/>
            </w:tcBorders>
            <w:tcMar>
              <w:top w:w="100" w:type="dxa"/>
              <w:left w:w="100" w:type="dxa"/>
              <w:bottom w:w="100" w:type="dxa"/>
              <w:right w:w="100" w:type="dxa"/>
            </w:tcMar>
          </w:tcPr>
          <w:p>
            <w:pPr>
              <w:spacing w:after="60" w:line="252" w:lineRule="auto"/>
            </w:pPr>
            <w:r>
              <w:rPr>
                <w:b w:val="0"/>
                <w:sz w:val="20"/>
              </w:rPr>
              <w:t xml:space="preserve">Protection, a pause or repair is needed.</w:t>
            </w:r>
          </w:p>
        </w:tc>
      </w:tr>
      <w:tr>
        <w:tc>
          <w:tcPr>
            <w:tcW w:type="dxa" w:w="1440"/>
            <w:vAlign w:val="center"/>
            <w:tcBorders>
              <w:top w:val="single" w:sz="4" w:color="D9D9D9"/>
              <w:left w:val="single" w:sz="4" w:color="D9D9D9"/>
              <w:bottom w:val="single" w:sz="4" w:color="D9D9D9"/>
              <w:right w:val="single" w:sz="4" w:color="D9D9D9"/>
            </w:tcBorders>
            <w:tcMar>
              <w:top w:w="100" w:type="dxa"/>
              <w:left w:w="100" w:type="dxa"/>
              <w:bottom w:w="100" w:type="dxa"/>
              <w:right w:w="100" w:type="dxa"/>
            </w:tcMar>
          </w:tcPr>
          <w:p>
            <w:pPr>
              <w:spacing w:after="60" w:line="252" w:lineRule="auto"/>
            </w:pPr>
            <w:r>
              <w:rPr>
                <w:b w:val="0"/>
                <w:sz w:val="20"/>
              </w:rPr>
              <w:t xml:space="preserve">Unknown</w:t>
            </w:r>
          </w:p>
        </w:tc>
        <w:tc>
          <w:tcPr>
            <w:tcW w:type="dxa" w:w="8352"/>
            <w:vAlign w:val="center"/>
            <w:tcBorders>
              <w:top w:val="single" w:sz="4" w:color="D9D9D9"/>
              <w:left w:val="single" w:sz="4" w:color="D9D9D9"/>
              <w:bottom w:val="single" w:sz="4" w:color="D9D9D9"/>
              <w:right w:val="single" w:sz="4" w:color="D9D9D9"/>
            </w:tcBorders>
            <w:tcMar>
              <w:top w:w="100" w:type="dxa"/>
              <w:left w:w="100" w:type="dxa"/>
              <w:bottom w:w="100" w:type="dxa"/>
              <w:right w:w="100" w:type="dxa"/>
            </w:tcMar>
          </w:tcPr>
          <w:p>
            <w:pPr>
              <w:spacing w:after="60" w:line="252" w:lineRule="auto"/>
            </w:pPr>
            <w:r>
              <w:rPr>
                <w:b w:val="0"/>
                <w:sz w:val="20"/>
              </w:rPr>
              <w:t xml:space="preserve">There is not enough basis to make the assessment. This is not yellow.</w:t>
            </w:r>
          </w:p>
        </w:tc>
      </w:tr>
    </w:tbl>
    <w:p/>
    <w:p>
      <w:r>
        <w:t xml:space="preserve">Assess the living place, people’s capacity to continue and shared governance separately. Keep the date, basis and uncertainty; do not calculate an average colour. Green in one area does not offset red in another. When people are exhausted, stop or reduce the work that depends on them; necessary care and a responsible handover may continue.</w:t>
      </w:r>
    </w:p>
    <w:p>
      <w:pPr>
        <w:pStyle w:val="Heading2"/>
      </w:pPr>
      <w:r>
        <w:t xml:space="preserve">Unknown is not the same as not relevant or deliberately omitted</w:t>
      </w:r>
    </w:p>
    <w:p>
      <w:r>
        <w:t xml:space="preserve">Unknown: the question is relevant, but we do not yet know enough. Not relevant: the question does not apply to this inquiry. Deliberately omitted: something is not recorded or included in this material. This says nothing about the condition concerned. A blank field has no unambiguous meaning; neither people nor AI may guess what it means.</w:t>
      </w:r>
    </w:p>
    <w:p>
      <w:pPr>
        <w:pStyle w:val="Heading2"/>
      </w:pPr>
      <w:r>
        <w:t xml:space="preserve">The right to leave something unrecorded</w:t>
      </w:r>
    </w:p>
    <w:p>
      <w:r>
        <w:t xml:space="preserve">A question may be approached through an observation, a personal experience or something experienced and cared for without being written down or recorded. Each person chooses what to keep. Other people’s inner experiences are theirs to offer. Protected shared knowledge is governed by the rights and agreements of those concerned.</w:t>
      </w:r>
    </w:p>
    <w:p>
      <w:r>
        <w:t xml:space="preserve">There is also no requirement to mark something as deliberately omitted. Even disclosing that something exists can be sensitive. Silence needs no explanation and gives no permission to fill the gap. Agreed necessary information about finance, safety and shared responsibility is defined separately; it does not give access to a person’s whole diary.</w:t>
      </w:r>
    </w:p>
    <w:p>
      <w:r>
        <w:t xml:space="preserve">For example, soil moisture may be unknown because it has not been examined sufficiently. A question about a stream may be irrelevant to this bed. A private recording can be kept outside the shared material without being mentioned there.</w:t>
      </w:r>
    </w:p>
    <w:p>
      <w:r>
        <w:t xml:space="preserve">Background reading: </w:t>
      </w:r>
      <w:hyperlink r:id="rId27">
        <w:r>
          <w:rPr>
            <w:color w:val="286A68"/>
            <w:u w:val="single"/>
          </w:rPr>
          <w:t xml:space="preserve">Knowing From the Ground</w:t>
        </w:r>
      </w:hyperlink>
      <w:r>
        <w:t xml:space="preserve"> · </w:t>
      </w:r>
      <w:hyperlink r:id="rId34">
        <w:r>
          <w:rPr>
            <w:color w:val="286A68"/>
            <w:u w:val="single"/>
          </w:rPr>
          <w:t xml:space="preserve">Moral Biology</w:t>
        </w:r>
      </w:hyperlink>
    </w:p>
    <w:p>
      <w:pPr>
        <w:pStyle w:val="Heading1"/>
        <w:pageBreakBefore/>
      </w:pPr>
      <w:bookmarkStart w:id="7" w:name="guide7"/>
      <w:r>
        <w:t xml:space="preserve">From personal contributions to a shared question</w:t>
      </w:r>
      <w:bookmarkEnd w:id="7"/>
    </w:p>
    <w:p>
      <w:r>
        <w:t xml:space="preserve">An AnchorPoint sustains local connections between people, places, knowledge, agreements and resources over time. Shared inquiry may take place in person and continue through relationships and online. A shared account does not in itself create shared authority; decision rights must be agreed.</w:t>
      </w:r>
    </w:p>
    <w:p>
      <w:r>
        <w:drawing>
          <wp:inline xmlns:a="http://schemas.openxmlformats.org/drawingml/2006/main" xmlns:pic="http://schemas.openxmlformats.org/drawingml/2006/picture">
            <wp:extent cx="6217920" cy="3165874"/>
            <wp:docPr id="4" name="Picture 4" descr="Shared local practice connects personal experience, neighbouring communities, living conditions and specialist knowledge in both directions."/>
            <wp:cNvGraphicFramePr>
              <a:graphicFrameLocks noChangeAspect="1"/>
            </wp:cNvGraphicFramePr>
            <a:graphic>
              <a:graphicData uri="http://schemas.openxmlformats.org/drawingml/2006/picture">
                <pic:pic>
                  <pic:nvPicPr>
                    <pic:cNvPr id="0" name="agora.png"/>
                    <pic:cNvPicPr/>
                  </pic:nvPicPr>
                  <pic:blipFill>
                    <a:blip r:embed="rId14"/>
                    <a:stretch>
                      <a:fillRect/>
                    </a:stretch>
                  </pic:blipFill>
                  <pic:spPr>
                    <a:xfrm>
                      <a:off x="0" y="0"/>
                      <a:ext cx="6217920" cy="3165874"/>
                    </a:xfrm>
                    <a:prstGeom prst="rect"/>
                  </pic:spPr>
                </pic:pic>
              </a:graphicData>
            </a:graphic>
          </wp:inline>
        </w:drawing>
      </w:r>
    </w:p>
    <w:p>
      <w:pPr>
        <w:pStyle w:val="Heading2"/>
      </w:pPr>
      <w:r>
        <w:t xml:space="preserve">A simple shared beginning</w:t>
      </w:r>
    </w:p>
    <w:p>
      <w:r>
        <w:t xml:space="preserve">Each person has the opportunity to offer one chosen contribution and may also choose not to share. The group examines similarities and differences and selects a question with a clear explanation. The choice considers interest, significance, time and feasibility. Other questions are kept for a later return. The record should show any disagreement about the choice and whose voices were not heard.</w:t>
      </w:r>
    </w:p>
    <w:p>
      <w:pPr>
        <w:pStyle w:val="Heading2"/>
      </w:pPr>
      <w:r>
        <w:t xml:space="preserve">When the question reaches beyond the group</w:t>
      </w:r>
    </w:p>
    <w:p>
      <w:r>
        <w:t xml:space="preserve">Agree who to contact, what the group wants to ask, which material may be shared and who will bring the answer back. Advice, laboratory analysis, institutional dialogue or contact with other growers are considered alongside the original experiences. An external response informs the next action only after appropriate local review and agreement. This is bottom-linking in practice.</w:t>
      </w:r>
    </w:p>
    <w:p>
      <w:pPr>
        <w:pStyle w:val="Heading2"/>
      </w:pPr>
      <w:r>
        <w:t xml:space="preserve">Bioregional connections</w:t>
      </w:r>
    </w:p>
    <w:p>
      <w:r>
        <w:t xml:space="preserve">Follow the conditions on which the question depends: water, soil, species, seeds, food, work and institutional decisions. Maps and seasonal calendars can reveal connections across property and project boundaries. Different voices and professional methods can correct one another. What actually happens in the field can contradict any of our explanations.</w:t>
      </w:r>
    </w:p>
    <w:p>
      <w:pPr>
        <w:pStyle w:val="Heading1"/>
        <w:pageBreakBefore/>
      </w:pPr>
      <w:bookmarkStart w:id="8" w:name="guide8"/>
      <w:r>
        <w:t xml:space="preserve">People as critical friends to AI</w:t>
      </w:r>
      <w:bookmarkEnd w:id="8"/>
    </w:p>
    <w:p>
      <w:r>
        <w:t xml:space="preserve">Individually or together, people take the role of critical friends to AI: open to what it may offer and alert to errors, overinterpretation and shifts in meaning. AI can support expression, translation, work with sources and comparison. Its contributions become useful to the inquiry through human scrutiny and testing in practice.</w:t>
      </w:r>
    </w:p>
    <w:p>
      <w:r>
        <w:drawing>
          <wp:inline xmlns:a="http://schemas.openxmlformats.org/drawingml/2006/main" xmlns:pic="http://schemas.openxmlformats.org/drawingml/2006/picture">
            <wp:extent cx="6217920" cy="2144969"/>
            <wp:docPr id="3" name="Picture 3" descr="The original, the AI proposal and human judgement remain distinct; the original is preserved."/>
            <wp:cNvGraphicFramePr>
              <a:graphicFrameLocks noChangeAspect="1"/>
            </wp:cNvGraphicFramePr>
            <a:graphic>
              <a:graphicData uri="http://schemas.openxmlformats.org/drawingml/2006/picture">
                <pic:pic>
                  <pic:nvPicPr>
                    <pic:cNvPr id="0" name="voices.png"/>
                    <pic:cNvPicPr/>
                  </pic:nvPicPr>
                  <pic:blipFill>
                    <a:blip r:embed="rId13"/>
                    <a:stretch>
                      <a:fillRect/>
                    </a:stretch>
                  </pic:blipFill>
                  <pic:spPr>
                    <a:xfrm>
                      <a:off x="0" y="0"/>
                      <a:ext cx="6217920" cy="2144969"/>
                    </a:xfrm>
                    <a:prstGeom prst="rect"/>
                  </pic:spPr>
                </pic:pic>
              </a:graphicData>
            </a:graphic>
          </wp:inline>
        </w:drawing>
      </w:r>
    </w:p>
    <w:p>
      <w:pPr>
        <w:pStyle w:val="Heading2"/>
      </w:pPr>
      <w:r>
        <w:t xml:space="preserve">Check the account before interpreting it</w:t>
      </w:r>
    </w:p>
    <w:p>
      <w:r>
        <w:t xml:space="preserve">AI first receives a clearly defined, bounded task and the material selected for that purpose. With a photo or recording, check its account before proceeding. Unclear words, images and translations remain marked as unclear. If the AI service cannot reliably handle the language or type of material, use competent human assistance.</w:t>
      </w:r>
    </w:p>
    <w:p>
      <w:pPr>
        <w:pStyle w:val="Heading2"/>
      </w:pPr>
      <w:r>
        <w:t xml:space="preserve">A starting prompt</w:t>
      </w:r>
    </w:p>
    <w:p>
      <w:r>
        <w:t xml:space="preserve">First describe what you can actually read, hear or see in the selected material. Mark uncertainty and wait for my correction. Distinguish my observation, my explanation and your suggestions. Do not fill blank fields. Keep unknown, not relevant and deliberately omitted distinct when they are stated. Infer nothing from silence and do not try to reconstruct omitted content. Only then suggest alternative explanations and ways to investigate them. Invent no information or sources.</w:t>
      </w:r>
    </w:p>
    <w:p>
      <w:r>
        <w:t xml:space="preserve">Then ask: which statements come from my material? What has AI added? Which sources can be checked? Have uncertainty and disagreement been preserved? What needs another observation or a specialist’s judgement? AI may also leave out an important possibility; its answer does not set the limits of the inquiry.</w:t>
      </w:r>
    </w:p>
    <w:p>
      <w:pPr>
        <w:pStyle w:val="Heading2"/>
      </w:pPr>
      <w:r>
        <w:t xml:space="preserve">Last Impulse in practice</w:t>
      </w:r>
    </w:p>
    <w:p>
      <w:r>
        <w:t xml:space="preserve">The person concerned can understand, correct, reject and stop an account or action and is responsible within their mandate. Silence is not approval. Agreement on wording is not permission to publish or take practical action.</w:t>
      </w:r>
    </w:p>
    <w:p>
      <w:r>
        <w:t xml:space="preserve">For example, “The soil felt cooler” becomes “Water use fell” in the AI text. The person points out the leap, corrects the account and decides what investigation is needed. The original, the AI contribution and the correction provide a concrete basis for assessing AI in Right Relationship.</w:t>
      </w:r>
    </w:p>
    <w:p>
      <w:pPr>
        <w:pStyle w:val="Heading1"/>
        <w:pageBreakBefore/>
      </w:pPr>
      <w:bookmarkStart w:id="9" w:name="guide9"/>
      <w:r>
        <w:t xml:space="preserve">Learning activities with a clear purpose</w:t>
      </w:r>
      <w:bookmarkEnd w:id="9"/>
    </w:p>
    <w:p>
      <w:r>
        <w:t xml:space="preserve">A learning activity offers a way to develop a particular skill or understanding. It may be a short conversation, a field walk, a trial, a demonstration or a task between meetings. The diary can hold records of experience from the activity. Use an operational format when a specific need for a shared record arises.</w:t>
      </w:r>
    </w:p>
    <w:tbl>
      <w:tblPr>
        <w:tblW w:type="auto" w:w="0"/>
        <w:tblLayout w:type="fixed"/>
        <w:tblLook w:firstColumn="1" w:firstRow="1" w:lastColumn="0" w:lastRow="0" w:noHBand="0" w:noVBand="1" w:val="04A0"/>
      </w:tblPr>
      <w:tblGrid>
        <w:gridCol w:w="2304"/>
        <w:gridCol w:w="4032"/>
        <w:gridCol w:w="3456"/>
      </w:tblGrid>
      <w:tr>
        <w:trPr>
          <w:tblHeader/>
        </w:trPr>
        <w:tc>
          <w:tcPr>
            <w:tcW w:type="dxa" w:w="3312"/>
            <w:vAlign w:val="center"/>
            <w:tcBorders>
              <w:top w:val="single" w:sz="4" w:color="D9D9D9"/>
              <w:left w:val="single" w:sz="4" w:color="D9D9D9"/>
              <w:bottom w:val="single" w:sz="4" w:color="D9D9D9"/>
              <w:right w:val="single" w:sz="4" w:color="D9D9D9"/>
            </w:tcBorders>
            <w:tcMar>
              <w:top w:w="90" w:type="dxa"/>
              <w:left w:w="90" w:type="dxa"/>
              <w:bottom w:w="90" w:type="dxa"/>
              <w:right w:w="90" w:type="dxa"/>
            </w:tcMar>
            <w:shd w:fill="E7EFF3"/>
          </w:tcPr>
          <w:p>
            <w:pPr>
              <w:spacing w:after="60" w:line="252" w:lineRule="auto"/>
            </w:pPr>
            <w:r>
              <w:rPr>
                <w:b/>
                <w:sz w:val="20"/>
              </w:rPr>
              <w:t xml:space="preserve">Activity</w:t>
            </w:r>
          </w:p>
        </w:tc>
        <w:tc>
          <w:tcPr>
            <w:tcW w:type="dxa" w:w="3312"/>
            <w:vAlign w:val="center"/>
            <w:tcBorders>
              <w:top w:val="single" w:sz="4" w:color="D9D9D9"/>
              <w:left w:val="single" w:sz="4" w:color="D9D9D9"/>
              <w:bottom w:val="single" w:sz="4" w:color="D9D9D9"/>
              <w:right w:val="single" w:sz="4" w:color="D9D9D9"/>
            </w:tcBorders>
            <w:tcMar>
              <w:top w:w="90" w:type="dxa"/>
              <w:left w:w="90" w:type="dxa"/>
              <w:bottom w:w="90" w:type="dxa"/>
              <w:right w:w="90" w:type="dxa"/>
            </w:tcMar>
            <w:shd w:fill="E7EFF3"/>
          </w:tcPr>
          <w:p>
            <w:pPr>
              <w:spacing w:after="60" w:line="252" w:lineRule="auto"/>
            </w:pPr>
            <w:r>
              <w:rPr>
                <w:b/>
                <w:sz w:val="20"/>
              </w:rPr>
              <w:t xml:space="preserve">What is practised</w:t>
            </w:r>
          </w:p>
        </w:tc>
        <w:tc>
          <w:tcPr>
            <w:tcW w:type="dxa" w:w="3312"/>
            <w:vAlign w:val="center"/>
            <w:tcBorders>
              <w:top w:val="single" w:sz="4" w:color="D9D9D9"/>
              <w:left w:val="single" w:sz="4" w:color="D9D9D9"/>
              <w:bottom w:val="single" w:sz="4" w:color="D9D9D9"/>
              <w:right w:val="single" w:sz="4" w:color="D9D9D9"/>
            </w:tcBorders>
            <w:tcMar>
              <w:top w:w="90" w:type="dxa"/>
              <w:left w:w="90" w:type="dxa"/>
              <w:bottom w:w="90" w:type="dxa"/>
              <w:right w:w="90" w:type="dxa"/>
            </w:tcMar>
            <w:shd w:fill="E7EFF3"/>
          </w:tcPr>
          <w:p>
            <w:pPr>
              <w:spacing w:after="60" w:line="252" w:lineRule="auto"/>
            </w:pPr>
            <w:r>
              <w:rPr>
                <w:b/>
                <w:sz w:val="20"/>
              </w:rPr>
              <w:t xml:space="preserve">Possible material</w:t>
            </w:r>
          </w:p>
        </w:tc>
      </w:tr>
      <w:tr>
        <w:tc>
          <w:tcPr>
            <w:tcW w:type="dxa" w:w="2304"/>
            <w:vAlign w:val="center"/>
            <w:tcBorders>
              <w:top w:val="single" w:sz="4" w:color="D9D9D9"/>
              <w:left w:val="single" w:sz="4" w:color="D9D9D9"/>
              <w:bottom w:val="single" w:sz="4" w:color="D9D9D9"/>
              <w:right w:val="single" w:sz="4" w:color="D9D9D9"/>
            </w:tcBorders>
            <w:tcMar>
              <w:top w:w="90" w:type="dxa"/>
              <w:left w:w="90" w:type="dxa"/>
              <w:bottom w:w="90" w:type="dxa"/>
              <w:right w:w="90" w:type="dxa"/>
            </w:tcMar>
          </w:tcPr>
          <w:p>
            <w:pPr>
              <w:spacing w:after="60" w:line="252" w:lineRule="auto"/>
            </w:pPr>
            <w:r>
              <w:rPr>
                <w:b w:val="0"/>
                <w:sz w:val="20"/>
              </w:rPr>
              <w:t xml:space="preserve">Noticing and describing</w:t>
            </w:r>
          </w:p>
        </w:tc>
        <w:tc>
          <w:tcPr>
            <w:tcW w:type="dxa" w:w="4032"/>
            <w:vAlign w:val="center"/>
            <w:tcBorders>
              <w:top w:val="single" w:sz="4" w:color="D9D9D9"/>
              <w:left w:val="single" w:sz="4" w:color="D9D9D9"/>
              <w:bottom w:val="single" w:sz="4" w:color="D9D9D9"/>
              <w:right w:val="single" w:sz="4" w:color="D9D9D9"/>
            </w:tcBorders>
            <w:tcMar>
              <w:top w:w="90" w:type="dxa"/>
              <w:left w:w="90" w:type="dxa"/>
              <w:bottom w:w="90" w:type="dxa"/>
              <w:right w:w="90" w:type="dxa"/>
            </w:tcMar>
          </w:tcPr>
          <w:p>
            <w:pPr>
              <w:spacing w:after="60" w:line="252" w:lineRule="auto"/>
            </w:pPr>
            <w:r>
              <w:rPr>
                <w:b w:val="0"/>
                <w:sz w:val="20"/>
              </w:rPr>
              <w:t xml:space="preserve">Distinguishing an observation from its possible explanation.</w:t>
            </w:r>
          </w:p>
        </w:tc>
        <w:tc>
          <w:tcPr>
            <w:tcW w:type="dxa" w:w="3456"/>
            <w:vAlign w:val="center"/>
            <w:tcBorders>
              <w:top w:val="single" w:sz="4" w:color="D9D9D9"/>
              <w:left w:val="single" w:sz="4" w:color="D9D9D9"/>
              <w:bottom w:val="single" w:sz="4" w:color="D9D9D9"/>
              <w:right w:val="single" w:sz="4" w:color="D9D9D9"/>
            </w:tcBorders>
            <w:tcMar>
              <w:top w:w="90" w:type="dxa"/>
              <w:left w:w="90" w:type="dxa"/>
              <w:bottom w:w="90" w:type="dxa"/>
              <w:right w:w="90" w:type="dxa"/>
            </w:tcMar>
          </w:tcPr>
          <w:p>
            <w:pPr>
              <w:spacing w:after="60" w:line="252" w:lineRule="auto"/>
            </w:pPr>
            <w:r>
              <w:rPr>
                <w:b w:val="0"/>
                <w:sz w:val="20"/>
              </w:rPr>
              <w:t xml:space="preserve">A drawing, words, photo or personal recording.</w:t>
            </w:r>
          </w:p>
        </w:tc>
      </w:tr>
      <w:tr>
        <w:tc>
          <w:tcPr>
            <w:tcW w:type="dxa" w:w="2304"/>
            <w:vAlign w:val="center"/>
            <w:tcBorders>
              <w:top w:val="single" w:sz="4" w:color="D9D9D9"/>
              <w:left w:val="single" w:sz="4" w:color="D9D9D9"/>
              <w:bottom w:val="single" w:sz="4" w:color="D9D9D9"/>
              <w:right w:val="single" w:sz="4" w:color="D9D9D9"/>
            </w:tcBorders>
            <w:tcMar>
              <w:top w:w="90" w:type="dxa"/>
              <w:left w:w="90" w:type="dxa"/>
              <w:bottom w:w="90" w:type="dxa"/>
              <w:right w:w="90" w:type="dxa"/>
            </w:tcMar>
          </w:tcPr>
          <w:p>
            <w:pPr>
              <w:spacing w:after="60" w:line="252" w:lineRule="auto"/>
            </w:pPr>
            <w:r>
              <w:rPr>
                <w:b w:val="0"/>
                <w:sz w:val="20"/>
              </w:rPr>
              <w:t xml:space="preserve">Comparing places or times</w:t>
            </w:r>
          </w:p>
        </w:tc>
        <w:tc>
          <w:tcPr>
            <w:tcW w:type="dxa" w:w="4032"/>
            <w:vAlign w:val="center"/>
            <w:tcBorders>
              <w:top w:val="single" w:sz="4" w:color="D9D9D9"/>
              <w:left w:val="single" w:sz="4" w:color="D9D9D9"/>
              <w:bottom w:val="single" w:sz="4" w:color="D9D9D9"/>
              <w:right w:val="single" w:sz="4" w:color="D9D9D9"/>
            </w:tcBorders>
            <w:tcMar>
              <w:top w:w="90" w:type="dxa"/>
              <w:left w:w="90" w:type="dxa"/>
              <w:bottom w:w="90" w:type="dxa"/>
              <w:right w:w="90" w:type="dxa"/>
            </w:tcMar>
          </w:tcPr>
          <w:p>
            <w:pPr>
              <w:spacing w:after="60" w:line="252" w:lineRule="auto"/>
            </w:pPr>
            <w:r>
              <w:rPr>
                <w:b w:val="0"/>
                <w:sz w:val="20"/>
              </w:rPr>
              <w:t xml:space="preserve">Examining similarities, differences and the conditions for comparison.</w:t>
            </w:r>
          </w:p>
        </w:tc>
        <w:tc>
          <w:tcPr>
            <w:tcW w:type="dxa" w:w="3456"/>
            <w:vAlign w:val="center"/>
            <w:tcBorders>
              <w:top w:val="single" w:sz="4" w:color="D9D9D9"/>
              <w:left w:val="single" w:sz="4" w:color="D9D9D9"/>
              <w:bottom w:val="single" w:sz="4" w:color="D9D9D9"/>
              <w:right w:val="single" w:sz="4" w:color="D9D9D9"/>
            </w:tcBorders>
            <w:tcMar>
              <w:top w:w="90" w:type="dxa"/>
              <w:left w:w="90" w:type="dxa"/>
              <w:bottom w:w="90" w:type="dxa"/>
              <w:right w:w="90" w:type="dxa"/>
            </w:tcMar>
          </w:tcPr>
          <w:p>
            <w:pPr>
              <w:spacing w:after="60" w:line="252" w:lineRule="auto"/>
            </w:pPr>
            <w:r>
              <w:rPr>
                <w:b w:val="0"/>
                <w:sz w:val="20"/>
              </w:rPr>
              <w:t xml:space="preserve">Two observations with their context identified.</w:t>
            </w:r>
          </w:p>
        </w:tc>
      </w:tr>
      <w:tr>
        <w:tc>
          <w:tcPr>
            <w:tcW w:type="dxa" w:w="2304"/>
            <w:vAlign w:val="center"/>
            <w:tcBorders>
              <w:top w:val="single" w:sz="4" w:color="D9D9D9"/>
              <w:left w:val="single" w:sz="4" w:color="D9D9D9"/>
              <w:bottom w:val="single" w:sz="4" w:color="D9D9D9"/>
              <w:right w:val="single" w:sz="4" w:color="D9D9D9"/>
            </w:tcBorders>
            <w:tcMar>
              <w:top w:w="90" w:type="dxa"/>
              <w:left w:w="90" w:type="dxa"/>
              <w:bottom w:w="90" w:type="dxa"/>
              <w:right w:w="90" w:type="dxa"/>
            </w:tcMar>
          </w:tcPr>
          <w:p>
            <w:pPr>
              <w:spacing w:after="60" w:line="252" w:lineRule="auto"/>
            </w:pPr>
            <w:r>
              <w:rPr>
                <w:b w:val="0"/>
                <w:sz w:val="20"/>
              </w:rPr>
              <w:t xml:space="preserve">Examining AI contributions</w:t>
            </w:r>
          </w:p>
        </w:tc>
        <w:tc>
          <w:tcPr>
            <w:tcW w:type="dxa" w:w="4032"/>
            <w:vAlign w:val="center"/>
            <w:tcBorders>
              <w:top w:val="single" w:sz="4" w:color="D9D9D9"/>
              <w:left w:val="single" w:sz="4" w:color="D9D9D9"/>
              <w:bottom w:val="single" w:sz="4" w:color="D9D9D9"/>
              <w:right w:val="single" w:sz="4" w:color="D9D9D9"/>
            </w:tcBorders>
            <w:tcMar>
              <w:top w:w="90" w:type="dxa"/>
              <w:left w:w="90" w:type="dxa"/>
              <w:bottom w:w="90" w:type="dxa"/>
              <w:right w:w="90" w:type="dxa"/>
            </w:tcMar>
          </w:tcPr>
          <w:p>
            <w:pPr>
              <w:spacing w:after="60" w:line="252" w:lineRule="auto"/>
            </w:pPr>
            <w:r>
              <w:rPr>
                <w:b w:val="0"/>
                <w:sz w:val="20"/>
              </w:rPr>
              <w:t xml:space="preserve">Recognising, correcting and challenging a reworked account.</w:t>
            </w:r>
          </w:p>
        </w:tc>
        <w:tc>
          <w:tcPr>
            <w:tcW w:type="dxa" w:w="3456"/>
            <w:vAlign w:val="center"/>
            <w:tcBorders>
              <w:top w:val="single" w:sz="4" w:color="D9D9D9"/>
              <w:left w:val="single" w:sz="4" w:color="D9D9D9"/>
              <w:bottom w:val="single" w:sz="4" w:color="D9D9D9"/>
              <w:right w:val="single" w:sz="4" w:color="D9D9D9"/>
            </w:tcBorders>
            <w:tcMar>
              <w:top w:w="90" w:type="dxa"/>
              <w:left w:w="90" w:type="dxa"/>
              <w:bottom w:w="90" w:type="dxa"/>
              <w:right w:w="90" w:type="dxa"/>
            </w:tcMar>
          </w:tcPr>
          <w:p>
            <w:pPr>
              <w:spacing w:after="60" w:line="252" w:lineRule="auto"/>
            </w:pPr>
            <w:r>
              <w:rPr>
                <w:b w:val="0"/>
                <w:sz w:val="20"/>
              </w:rPr>
              <w:t xml:space="preserve">The original, AI proposal and human correction.</w:t>
            </w:r>
          </w:p>
        </w:tc>
      </w:tr>
      <w:tr>
        <w:tc>
          <w:tcPr>
            <w:tcW w:type="dxa" w:w="2304"/>
            <w:vAlign w:val="center"/>
            <w:tcBorders>
              <w:top w:val="single" w:sz="4" w:color="D9D9D9"/>
              <w:left w:val="single" w:sz="4" w:color="D9D9D9"/>
              <w:bottom w:val="single" w:sz="4" w:color="D9D9D9"/>
              <w:right w:val="single" w:sz="4" w:color="D9D9D9"/>
            </w:tcBorders>
            <w:tcMar>
              <w:top w:w="90" w:type="dxa"/>
              <w:left w:w="90" w:type="dxa"/>
              <w:bottom w:w="90" w:type="dxa"/>
              <w:right w:w="90" w:type="dxa"/>
            </w:tcMar>
          </w:tcPr>
          <w:p>
            <w:pPr>
              <w:spacing w:after="60" w:line="252" w:lineRule="auto"/>
            </w:pPr>
            <w:r>
              <w:rPr>
                <w:b w:val="0"/>
                <w:sz w:val="20"/>
              </w:rPr>
              <w:t xml:space="preserve">Choosing and acting together</w:t>
            </w:r>
          </w:p>
        </w:tc>
        <w:tc>
          <w:tcPr>
            <w:tcW w:type="dxa" w:w="4032"/>
            <w:vAlign w:val="center"/>
            <w:tcBorders>
              <w:top w:val="single" w:sz="4" w:color="D9D9D9"/>
              <w:left w:val="single" w:sz="4" w:color="D9D9D9"/>
              <w:bottom w:val="single" w:sz="4" w:color="D9D9D9"/>
              <w:right w:val="single" w:sz="4" w:color="D9D9D9"/>
            </w:tcBorders>
            <w:tcMar>
              <w:top w:w="90" w:type="dxa"/>
              <w:left w:w="90" w:type="dxa"/>
              <w:bottom w:w="90" w:type="dxa"/>
              <w:right w:w="90" w:type="dxa"/>
            </w:tcMar>
          </w:tcPr>
          <w:p>
            <w:pPr>
              <w:spacing w:after="60" w:line="252" w:lineRule="auto"/>
            </w:pPr>
            <w:r>
              <w:rPr>
                <w:b w:val="0"/>
                <w:sz w:val="20"/>
              </w:rPr>
              <w:t xml:space="preserve">Explaining a choice and clarifying authority, resources and follow-up.</w:t>
            </w:r>
          </w:p>
        </w:tc>
        <w:tc>
          <w:tcPr>
            <w:tcW w:type="dxa" w:w="3456"/>
            <w:vAlign w:val="center"/>
            <w:tcBorders>
              <w:top w:val="single" w:sz="4" w:color="D9D9D9"/>
              <w:left w:val="single" w:sz="4" w:color="D9D9D9"/>
              <w:bottom w:val="single" w:sz="4" w:color="D9D9D9"/>
              <w:right w:val="single" w:sz="4" w:color="D9D9D9"/>
            </w:tcBorders>
            <w:tcMar>
              <w:top w:w="90" w:type="dxa"/>
              <w:left w:w="90" w:type="dxa"/>
              <w:bottom w:w="90" w:type="dxa"/>
              <w:right w:w="90" w:type="dxa"/>
            </w:tcMar>
          </w:tcPr>
          <w:p>
            <w:pPr>
              <w:spacing w:after="60" w:line="252" w:lineRule="auto"/>
            </w:pPr>
            <w:r>
              <w:rPr>
                <w:b w:val="0"/>
                <w:sz w:val="20"/>
              </w:rPr>
              <w:t xml:space="preserve">A shared question and an agreement with a defined scope.</w:t>
            </w:r>
          </w:p>
        </w:tc>
      </w:tr>
      <w:tr>
        <w:tc>
          <w:tcPr>
            <w:tcW w:type="dxa" w:w="2304"/>
            <w:vAlign w:val="center"/>
            <w:tcBorders>
              <w:top w:val="single" w:sz="4" w:color="D9D9D9"/>
              <w:left w:val="single" w:sz="4" w:color="D9D9D9"/>
              <w:bottom w:val="single" w:sz="4" w:color="D9D9D9"/>
              <w:right w:val="single" w:sz="4" w:color="D9D9D9"/>
            </w:tcBorders>
            <w:tcMar>
              <w:top w:w="90" w:type="dxa"/>
              <w:left w:w="90" w:type="dxa"/>
              <w:bottom w:w="90" w:type="dxa"/>
              <w:right w:w="90" w:type="dxa"/>
            </w:tcMar>
          </w:tcPr>
          <w:p>
            <w:pPr>
              <w:spacing w:after="60" w:line="252" w:lineRule="auto"/>
            </w:pPr>
            <w:r>
              <w:rPr>
                <w:b w:val="0"/>
                <w:sz w:val="20"/>
              </w:rPr>
              <w:t xml:space="preserve">Seeking knowledge or support</w:t>
            </w:r>
          </w:p>
        </w:tc>
        <w:tc>
          <w:tcPr>
            <w:tcW w:type="dxa" w:w="4032"/>
            <w:vAlign w:val="center"/>
            <w:tcBorders>
              <w:top w:val="single" w:sz="4" w:color="D9D9D9"/>
              <w:left w:val="single" w:sz="4" w:color="D9D9D9"/>
              <w:bottom w:val="single" w:sz="4" w:color="D9D9D9"/>
              <w:right w:val="single" w:sz="4" w:color="D9D9D9"/>
            </w:tcBorders>
            <w:tcMar>
              <w:top w:w="90" w:type="dxa"/>
              <w:left w:w="90" w:type="dxa"/>
              <w:bottom w:w="90" w:type="dxa"/>
              <w:right w:w="90" w:type="dxa"/>
            </w:tcMar>
          </w:tcPr>
          <w:p>
            <w:pPr>
              <w:spacing w:after="60" w:line="252" w:lineRule="auto"/>
            </w:pPr>
            <w:r>
              <w:rPr>
                <w:b w:val="0"/>
                <w:sz w:val="20"/>
              </w:rPr>
              <w:t xml:space="preserve">Expressing a need and assessing a response from others.</w:t>
            </w:r>
          </w:p>
        </w:tc>
        <w:tc>
          <w:tcPr>
            <w:tcW w:type="dxa" w:w="3456"/>
            <w:vAlign w:val="center"/>
            <w:tcBorders>
              <w:top w:val="single" w:sz="4" w:color="D9D9D9"/>
              <w:left w:val="single" w:sz="4" w:color="D9D9D9"/>
              <w:bottom w:val="single" w:sz="4" w:color="D9D9D9"/>
              <w:right w:val="single" w:sz="4" w:color="D9D9D9"/>
            </w:tcBorders>
            <w:tcMar>
              <w:top w:w="90" w:type="dxa"/>
              <w:left w:w="90" w:type="dxa"/>
              <w:bottom w:w="90" w:type="dxa"/>
              <w:right w:w="90" w:type="dxa"/>
            </w:tcMar>
          </w:tcPr>
          <w:p>
            <w:pPr>
              <w:spacing w:after="60" w:line="252" w:lineRule="auto"/>
            </w:pPr>
            <w:r>
              <w:rPr>
                <w:b w:val="0"/>
                <w:sz w:val="20"/>
              </w:rPr>
              <w:t xml:space="preserve">A request and something useful in return.</w:t>
            </w:r>
          </w:p>
        </w:tc>
      </w:tr>
      <w:tr>
        <w:tc>
          <w:tcPr>
            <w:tcW w:type="dxa" w:w="2304"/>
            <w:vAlign w:val="center"/>
            <w:tcBorders>
              <w:top w:val="single" w:sz="4" w:color="D9D9D9"/>
              <w:left w:val="single" w:sz="4" w:color="D9D9D9"/>
              <w:bottom w:val="single" w:sz="4" w:color="D9D9D9"/>
              <w:right w:val="single" w:sz="4" w:color="D9D9D9"/>
            </w:tcBorders>
            <w:tcMar>
              <w:top w:w="90" w:type="dxa"/>
              <w:left w:w="90" w:type="dxa"/>
              <w:bottom w:w="90" w:type="dxa"/>
              <w:right w:w="90" w:type="dxa"/>
            </w:tcMar>
          </w:tcPr>
          <w:p>
            <w:pPr>
              <w:spacing w:after="60" w:line="252" w:lineRule="auto"/>
            </w:pPr>
            <w:r>
              <w:rPr>
                <w:b w:val="0"/>
                <w:sz w:val="20"/>
              </w:rPr>
              <w:t xml:space="preserve">Showing a practice to others</w:t>
            </w:r>
          </w:p>
        </w:tc>
        <w:tc>
          <w:tcPr>
            <w:tcW w:type="dxa" w:w="4032"/>
            <w:vAlign w:val="center"/>
            <w:tcBorders>
              <w:top w:val="single" w:sz="4" w:color="D9D9D9"/>
              <w:left w:val="single" w:sz="4" w:color="D9D9D9"/>
              <w:bottom w:val="single" w:sz="4" w:color="D9D9D9"/>
              <w:right w:val="single" w:sz="4" w:color="D9D9D9"/>
            </w:tcBorders>
            <w:tcMar>
              <w:top w:w="90" w:type="dxa"/>
              <w:left w:w="90" w:type="dxa"/>
              <w:bottom w:w="90" w:type="dxa"/>
              <w:right w:w="90" w:type="dxa"/>
            </w:tcMar>
          </w:tcPr>
          <w:p>
            <w:pPr>
              <w:spacing w:after="60" w:line="252" w:lineRule="auto"/>
            </w:pPr>
            <w:r>
              <w:rPr>
                <w:b w:val="0"/>
                <w:sz w:val="20"/>
              </w:rPr>
              <w:t xml:space="preserve">Explaining and demonstrating what has been learned, with room for questions.</w:t>
            </w:r>
          </w:p>
        </w:tc>
        <w:tc>
          <w:tcPr>
            <w:tcW w:type="dxa" w:w="3456"/>
            <w:vAlign w:val="center"/>
            <w:tcBorders>
              <w:top w:val="single" w:sz="4" w:color="D9D9D9"/>
              <w:left w:val="single" w:sz="4" w:color="D9D9D9"/>
              <w:bottom w:val="single" w:sz="4" w:color="D9D9D9"/>
              <w:right w:val="single" w:sz="4" w:color="D9D9D9"/>
            </w:tcBorders>
            <w:tcMar>
              <w:top w:w="90" w:type="dxa"/>
              <w:left w:w="90" w:type="dxa"/>
              <w:bottom w:w="90" w:type="dxa"/>
              <w:right w:w="90" w:type="dxa"/>
            </w:tcMar>
          </w:tcPr>
          <w:p>
            <w:pPr>
              <w:spacing w:after="60" w:line="252" w:lineRule="auto"/>
            </w:pPr>
            <w:r>
              <w:rPr>
                <w:b w:val="0"/>
                <w:sz w:val="20"/>
              </w:rPr>
              <w:t xml:space="preserve">A demonstration or a selected contribution to learning.</w:t>
            </w:r>
          </w:p>
        </w:tc>
      </w:tr>
    </w:tbl>
    <w:p/>
    <w:p>
      <w:pPr>
        <w:pStyle w:val="Heading2"/>
      </w:pPr>
      <w:r>
        <w:t xml:space="preserve">Six questions for planning</w:t>
      </w:r>
    </w:p>
    <w:p>
      <w:r>
        <w:t xml:space="preserve">Purpose: what should this activity help people learn?</w:t>
      </w:r>
    </w:p>
    <w:p>
      <w:r>
        <w:t xml:space="preserve">Starting point: which experience or material do we begin with?</w:t>
      </w:r>
    </w:p>
    <w:p>
      <w:r>
        <w:t xml:space="preserve">Action: what exactly will we do, with which support and time frame?</w:t>
      </w:r>
    </w:p>
    <w:p>
      <w:r>
        <w:t xml:space="preserve">Conversation: what do we investigate together, and where might we disagree?</w:t>
      </w:r>
    </w:p>
    <w:p>
      <w:r>
        <w:t xml:space="preserve">Memory: what is worth keeping, by whom and in which form?</w:t>
      </w:r>
    </w:p>
    <w:p>
      <w:r>
        <w:t xml:space="preserve">Return: when and how will we use the experience again?</w:t>
      </w:r>
    </w:p>
    <w:p>
      <w:r>
        <w:t xml:space="preserve">In Learning with Living Places, agreed tasks are included in paid learning and working time. There is no expectation of a daily submission from a personal diary. An activity succeeds when it opens worthwhile learning and action; the amount of documentation is not a goal in itself.</w:t>
      </w:r>
    </w:p>
    <w:p>
      <w:pPr>
        <w:pStyle w:val="Heading1"/>
        <w:pageBreakBefore/>
      </w:pPr>
      <w:bookmarkStart w:id="10" w:name="guide10"/>
      <w:r>
        <w:t xml:space="preserve">Organising the work over time</w:t>
      </w:r>
      <w:bookmarkEnd w:id="10"/>
    </w:p>
    <w:p>
      <w:pPr>
        <w:pStyle w:val="Heading2"/>
      </w:pPr>
      <w:r>
        <w:t xml:space="preserve">Rhythm and continuity of inquiry</w:t>
      </w:r>
    </w:p>
    <w:p>
      <w:r>
        <w:t xml:space="preserve">A working day may begin with what the group wants to notice and end with what needs follow-up. The group returns to its inquiry in relation to actions, seasons and concrete decisions. The group agrees a rhythm for shared review that keeps questions, resources and experience connected without unnecessary duplication of documentation.</w:t>
      </w:r>
    </w:p>
    <w:p>
      <w:r>
        <w:t xml:space="preserve">The five learning strands are soil, water and place; food systems and habitats; stewardship economy; collaboration and institutions; and teaching and exchange. One question can connect several strands. They help open the inquiry and reveal overlooked relationships. Also make room to demonstrate a technique, explore or share something surprising without requiring a record.</w:t>
      </w:r>
    </w:p>
    <w:p>
      <w:pPr>
        <w:pStyle w:val="Heading2"/>
      </w:pPr>
      <w:r>
        <w:t xml:space="preserve">An example with two learning plots</w:t>
      </w:r>
    </w:p>
    <w:p>
      <w:r>
        <w:t xml:space="preserve">On a farm, two plots are prepared for different cultivation trials. The team describes their starting conditions through its own observations and relevant specialist inquiry. It chooses a question, perhaps about soil cover and water, agrees a small trial and also documents materials and working time. A farm school or adviser is involved where this can help the inquiry. At the next visit, the team reviews the process and the next step.</w:t>
      </w:r>
    </w:p>
    <w:tbl>
      <w:tblPr>
        <w:tblW w:type="auto" w:w="0"/>
        <w:tblLayout w:type="fixed"/>
        <w:tblLook w:firstColumn="1" w:firstRow="1" w:lastColumn="0" w:lastRow="0" w:noHBand="0" w:noVBand="1" w:val="04A0"/>
      </w:tblPr>
      <w:tblGrid>
        <w:gridCol w:w="2016"/>
        <w:gridCol w:w="4608"/>
        <w:gridCol w:w="3168"/>
      </w:tblGrid>
      <w:tr>
        <w:trPr>
          <w:tblHeader/>
        </w:trPr>
        <w:tc>
          <w:tcPr>
            <w:tcW w:type="dxa" w:w="3312"/>
            <w:vAlign w:val="center"/>
            <w:tcBorders>
              <w:top w:val="single" w:sz="4" w:color="D9D9D9"/>
              <w:left w:val="single" w:sz="4" w:color="D9D9D9"/>
              <w:bottom w:val="single" w:sz="4" w:color="D9D9D9"/>
              <w:right w:val="single" w:sz="4" w:color="D9D9D9"/>
            </w:tcBorders>
            <w:tcMar>
              <w:top w:w="95" w:type="dxa"/>
              <w:left w:w="95" w:type="dxa"/>
              <w:bottom w:w="95" w:type="dxa"/>
              <w:right w:w="95" w:type="dxa"/>
            </w:tcMar>
            <w:shd w:fill="E7EFF3"/>
          </w:tcPr>
          <w:p>
            <w:pPr>
              <w:spacing w:after="60" w:line="252" w:lineRule="auto"/>
            </w:pPr>
            <w:r>
              <w:rPr>
                <w:b/>
                <w:sz w:val="20"/>
              </w:rPr>
              <w:t xml:space="preserve">Phase</w:t>
            </w:r>
          </w:p>
        </w:tc>
        <w:tc>
          <w:tcPr>
            <w:tcW w:type="dxa" w:w="3312"/>
            <w:vAlign w:val="center"/>
            <w:tcBorders>
              <w:top w:val="single" w:sz="4" w:color="D9D9D9"/>
              <w:left w:val="single" w:sz="4" w:color="D9D9D9"/>
              <w:bottom w:val="single" w:sz="4" w:color="D9D9D9"/>
              <w:right w:val="single" w:sz="4" w:color="D9D9D9"/>
            </w:tcBorders>
            <w:tcMar>
              <w:top w:w="95" w:type="dxa"/>
              <w:left w:w="95" w:type="dxa"/>
              <w:bottom w:w="95" w:type="dxa"/>
              <w:right w:w="95" w:type="dxa"/>
            </w:tcMar>
            <w:shd w:fill="E7EFF3"/>
          </w:tcPr>
          <w:p>
            <w:pPr>
              <w:spacing w:after="60" w:line="252" w:lineRule="auto"/>
            </w:pPr>
            <w:r>
              <w:rPr>
                <w:b/>
                <w:sz w:val="20"/>
              </w:rPr>
              <w:t xml:space="preserve">Shared work</w:t>
            </w:r>
          </w:p>
        </w:tc>
        <w:tc>
          <w:tcPr>
            <w:tcW w:type="dxa" w:w="3312"/>
            <w:vAlign w:val="center"/>
            <w:tcBorders>
              <w:top w:val="single" w:sz="4" w:color="D9D9D9"/>
              <w:left w:val="single" w:sz="4" w:color="D9D9D9"/>
              <w:bottom w:val="single" w:sz="4" w:color="D9D9D9"/>
              <w:right w:val="single" w:sz="4" w:color="D9D9D9"/>
            </w:tcBorders>
            <w:tcMar>
              <w:top w:w="95" w:type="dxa"/>
              <w:left w:w="95" w:type="dxa"/>
              <w:bottom w:w="95" w:type="dxa"/>
              <w:right w:w="95" w:type="dxa"/>
            </w:tcMar>
            <w:shd w:fill="E7EFF3"/>
          </w:tcPr>
          <w:p>
            <w:pPr>
              <w:spacing w:after="60" w:line="252" w:lineRule="auto"/>
            </w:pPr>
            <w:r>
              <w:rPr>
                <w:b/>
                <w:sz w:val="20"/>
              </w:rPr>
              <w:t xml:space="preserve">Basis for the next phase</w:t>
            </w:r>
          </w:p>
        </w:tc>
      </w:tr>
      <w:tr>
        <w:tc>
          <w:tcPr>
            <w:tcW w:type="dxa" w:w="2016"/>
            <w:vAlign w:val="center"/>
            <w:tcBorders>
              <w:top w:val="single" w:sz="4" w:color="D9D9D9"/>
              <w:left w:val="single" w:sz="4" w:color="D9D9D9"/>
              <w:bottom w:val="single" w:sz="4" w:color="D9D9D9"/>
              <w:right w:val="single" w:sz="4" w:color="D9D9D9"/>
            </w:tcBorders>
            <w:tcMar>
              <w:top w:w="95" w:type="dxa"/>
              <w:left w:w="95" w:type="dxa"/>
              <w:bottom w:w="95" w:type="dxa"/>
              <w:right w:w="95" w:type="dxa"/>
            </w:tcMar>
          </w:tcPr>
          <w:p>
            <w:pPr>
              <w:spacing w:after="60" w:line="252" w:lineRule="auto"/>
            </w:pPr>
            <w:r>
              <w:rPr>
                <w:b w:val="0"/>
                <w:sz w:val="20"/>
              </w:rPr>
              <w:t xml:space="preserve">Preparation</w:t>
            </w:r>
          </w:p>
        </w:tc>
        <w:tc>
          <w:tcPr>
            <w:tcW w:type="dxa" w:w="4608"/>
            <w:vAlign w:val="center"/>
            <w:tcBorders>
              <w:top w:val="single" w:sz="4" w:color="D9D9D9"/>
              <w:left w:val="single" w:sz="4" w:color="D9D9D9"/>
              <w:bottom w:val="single" w:sz="4" w:color="D9D9D9"/>
              <w:right w:val="single" w:sz="4" w:color="D9D9D9"/>
            </w:tcBorders>
            <w:tcMar>
              <w:top w:w="95" w:type="dxa"/>
              <w:left w:w="95" w:type="dxa"/>
              <w:bottom w:w="95" w:type="dxa"/>
              <w:right w:w="95" w:type="dxa"/>
            </w:tcMar>
          </w:tcPr>
          <w:p>
            <w:pPr>
              <w:spacing w:after="60" w:line="252" w:lineRule="auto"/>
            </w:pPr>
            <w:r>
              <w:rPr>
                <w:b w:val="0"/>
                <w:sz w:val="20"/>
              </w:rPr>
              <w:t xml:space="preserve">Programme stewards try the method and clarify language, access, roles and safety.</w:t>
            </w:r>
          </w:p>
        </w:tc>
        <w:tc>
          <w:tcPr>
            <w:tcW w:type="dxa" w:w="3168"/>
            <w:vAlign w:val="center"/>
            <w:tcBorders>
              <w:top w:val="single" w:sz="4" w:color="D9D9D9"/>
              <w:left w:val="single" w:sz="4" w:color="D9D9D9"/>
              <w:bottom w:val="single" w:sz="4" w:color="D9D9D9"/>
              <w:right w:val="single" w:sz="4" w:color="D9D9D9"/>
            </w:tcBorders>
            <w:tcMar>
              <w:top w:w="95" w:type="dxa"/>
              <w:left w:w="95" w:type="dxa"/>
              <w:bottom w:w="95" w:type="dxa"/>
              <w:right w:w="95" w:type="dxa"/>
            </w:tcMar>
          </w:tcPr>
          <w:p>
            <w:pPr>
              <w:spacing w:after="60" w:line="252" w:lineRule="auto"/>
            </w:pPr>
            <w:r>
              <w:rPr>
                <w:b w:val="0"/>
                <w:sz w:val="20"/>
              </w:rPr>
              <w:t xml:space="preserve">A tested initial offer and clear agreements</w:t>
            </w:r>
          </w:p>
        </w:tc>
      </w:tr>
      <w:tr>
        <w:tc>
          <w:tcPr>
            <w:tcW w:type="dxa" w:w="2016"/>
            <w:vAlign w:val="center"/>
            <w:tcBorders>
              <w:top w:val="single" w:sz="4" w:color="D9D9D9"/>
              <w:left w:val="single" w:sz="4" w:color="D9D9D9"/>
              <w:bottom w:val="single" w:sz="4" w:color="D9D9D9"/>
              <w:right w:val="single" w:sz="4" w:color="D9D9D9"/>
            </w:tcBorders>
            <w:tcMar>
              <w:top w:w="95" w:type="dxa"/>
              <w:left w:w="95" w:type="dxa"/>
              <w:bottom w:w="95" w:type="dxa"/>
              <w:right w:w="95" w:type="dxa"/>
            </w:tcMar>
          </w:tcPr>
          <w:p>
            <w:pPr>
              <w:spacing w:after="60" w:line="252" w:lineRule="auto"/>
            </w:pPr>
            <w:r>
              <w:rPr>
                <w:b w:val="0"/>
                <w:sz w:val="20"/>
              </w:rPr>
              <w:t xml:space="preserve">Opening</w:t>
            </w:r>
          </w:p>
        </w:tc>
        <w:tc>
          <w:tcPr>
            <w:tcW w:type="dxa" w:w="4608"/>
            <w:vAlign w:val="center"/>
            <w:tcBorders>
              <w:top w:val="single" w:sz="4" w:color="D9D9D9"/>
              <w:left w:val="single" w:sz="4" w:color="D9D9D9"/>
              <w:bottom w:val="single" w:sz="4" w:color="D9D9D9"/>
              <w:right w:val="single" w:sz="4" w:color="D9D9D9"/>
            </w:tcBorders>
            <w:tcMar>
              <w:top w:w="95" w:type="dxa"/>
              <w:left w:w="95" w:type="dxa"/>
              <w:bottom w:w="95" w:type="dxa"/>
              <w:right w:w="95" w:type="dxa"/>
            </w:tcMar>
          </w:tcPr>
          <w:p>
            <w:pPr>
              <w:spacing w:after="60" w:line="252" w:lineRule="auto"/>
            </w:pPr>
            <w:r>
              <w:rPr>
                <w:b w:val="0"/>
                <w:sz w:val="20"/>
              </w:rPr>
              <w:t xml:space="preserve">The group tries different ways of expressing experience and helps choose questions.</w:t>
            </w:r>
          </w:p>
        </w:tc>
        <w:tc>
          <w:tcPr>
            <w:tcW w:type="dxa" w:w="3168"/>
            <w:vAlign w:val="center"/>
            <w:tcBorders>
              <w:top w:val="single" w:sz="4" w:color="D9D9D9"/>
              <w:left w:val="single" w:sz="4" w:color="D9D9D9"/>
              <w:bottom w:val="single" w:sz="4" w:color="D9D9D9"/>
              <w:right w:val="single" w:sz="4" w:color="D9D9D9"/>
            </w:tcBorders>
            <w:tcMar>
              <w:top w:w="95" w:type="dxa"/>
              <w:left w:w="95" w:type="dxa"/>
              <w:bottom w:w="95" w:type="dxa"/>
              <w:right w:w="95" w:type="dxa"/>
            </w:tcMar>
          </w:tcPr>
          <w:p>
            <w:pPr>
              <w:spacing w:after="60" w:line="252" w:lineRule="auto"/>
            </w:pPr>
            <w:r>
              <w:rPr>
                <w:b w:val="0"/>
                <w:sz w:val="20"/>
              </w:rPr>
              <w:t xml:space="preserve">Local questions and adapted tools</w:t>
            </w:r>
          </w:p>
        </w:tc>
      </w:tr>
      <w:tr>
        <w:tc>
          <w:tcPr>
            <w:tcW w:type="dxa" w:w="2016"/>
            <w:vAlign w:val="center"/>
            <w:tcBorders>
              <w:top w:val="single" w:sz="4" w:color="D9D9D9"/>
              <w:left w:val="single" w:sz="4" w:color="D9D9D9"/>
              <w:bottom w:val="single" w:sz="4" w:color="D9D9D9"/>
              <w:right w:val="single" w:sz="4" w:color="D9D9D9"/>
            </w:tcBorders>
            <w:tcMar>
              <w:top w:w="95" w:type="dxa"/>
              <w:left w:w="95" w:type="dxa"/>
              <w:bottom w:w="95" w:type="dxa"/>
              <w:right w:w="95" w:type="dxa"/>
            </w:tcMar>
          </w:tcPr>
          <w:p>
            <w:pPr>
              <w:spacing w:after="60" w:line="252" w:lineRule="auto"/>
            </w:pPr>
            <w:r>
              <w:rPr>
                <w:b w:val="0"/>
                <w:sz w:val="20"/>
              </w:rPr>
              <w:t xml:space="preserve">Inquiry</w:t>
            </w:r>
          </w:p>
        </w:tc>
        <w:tc>
          <w:tcPr>
            <w:tcW w:type="dxa" w:w="4608"/>
            <w:vAlign w:val="center"/>
            <w:tcBorders>
              <w:top w:val="single" w:sz="4" w:color="D9D9D9"/>
              <w:left w:val="single" w:sz="4" w:color="D9D9D9"/>
              <w:bottom w:val="single" w:sz="4" w:color="D9D9D9"/>
              <w:right w:val="single" w:sz="4" w:color="D9D9D9"/>
            </w:tcBorders>
            <w:tcMar>
              <w:top w:w="95" w:type="dxa"/>
              <w:left w:w="95" w:type="dxa"/>
              <w:bottom w:w="95" w:type="dxa"/>
              <w:right w:w="95" w:type="dxa"/>
            </w:tcMar>
          </w:tcPr>
          <w:p>
            <w:pPr>
              <w:spacing w:after="60" w:line="252" w:lineRule="auto"/>
            </w:pPr>
            <w:r>
              <w:rPr>
                <w:b w:val="0"/>
                <w:sz w:val="20"/>
              </w:rPr>
              <w:t xml:space="preserve">Practical work, observation, informed dialogue and limited trials.</w:t>
            </w:r>
          </w:p>
        </w:tc>
        <w:tc>
          <w:tcPr>
            <w:tcW w:type="dxa" w:w="3168"/>
            <w:vAlign w:val="center"/>
            <w:tcBorders>
              <w:top w:val="single" w:sz="4" w:color="D9D9D9"/>
              <w:left w:val="single" w:sz="4" w:color="D9D9D9"/>
              <w:bottom w:val="single" w:sz="4" w:color="D9D9D9"/>
              <w:right w:val="single" w:sz="4" w:color="D9D9D9"/>
            </w:tcBorders>
            <w:tcMar>
              <w:top w:w="95" w:type="dxa"/>
              <w:left w:w="95" w:type="dxa"/>
              <w:bottom w:w="95" w:type="dxa"/>
              <w:right w:w="95" w:type="dxa"/>
            </w:tcMar>
          </w:tcPr>
          <w:p>
            <w:pPr>
              <w:spacing w:after="60" w:line="252" w:lineRule="auto"/>
            </w:pPr>
            <w:r>
              <w:rPr>
                <w:b w:val="0"/>
                <w:sz w:val="20"/>
              </w:rPr>
              <w:t xml:space="preserve">Experience, corrections and decisions</w:t>
            </w:r>
          </w:p>
        </w:tc>
      </w:tr>
      <w:tr>
        <w:tc>
          <w:tcPr>
            <w:tcW w:type="dxa" w:w="2016"/>
            <w:vAlign w:val="center"/>
            <w:tcBorders>
              <w:top w:val="single" w:sz="4" w:color="D9D9D9"/>
              <w:left w:val="single" w:sz="4" w:color="D9D9D9"/>
              <w:bottom w:val="single" w:sz="4" w:color="D9D9D9"/>
              <w:right w:val="single" w:sz="4" w:color="D9D9D9"/>
            </w:tcBorders>
            <w:tcMar>
              <w:top w:w="95" w:type="dxa"/>
              <w:left w:w="95" w:type="dxa"/>
              <w:bottom w:w="95" w:type="dxa"/>
              <w:right w:w="95" w:type="dxa"/>
            </w:tcMar>
          </w:tcPr>
          <w:p>
            <w:pPr>
              <w:spacing w:after="60" w:line="252" w:lineRule="auto"/>
            </w:pPr>
            <w:r>
              <w:rPr>
                <w:b w:val="0"/>
                <w:sz w:val="20"/>
              </w:rPr>
              <w:t xml:space="preserve">Exchange</w:t>
            </w:r>
          </w:p>
        </w:tc>
        <w:tc>
          <w:tcPr>
            <w:tcW w:type="dxa" w:w="4608"/>
            <w:vAlign w:val="center"/>
            <w:tcBorders>
              <w:top w:val="single" w:sz="4" w:color="D9D9D9"/>
              <w:left w:val="single" w:sz="4" w:color="D9D9D9"/>
              <w:bottom w:val="single" w:sz="4" w:color="D9D9D9"/>
              <w:right w:val="single" w:sz="4" w:color="D9D9D9"/>
            </w:tcBorders>
            <w:tcMar>
              <w:top w:w="95" w:type="dxa"/>
              <w:left w:w="95" w:type="dxa"/>
              <w:bottom w:w="95" w:type="dxa"/>
              <w:right w:w="95" w:type="dxa"/>
            </w:tcMar>
          </w:tcPr>
          <w:p>
            <w:pPr>
              <w:spacing w:after="60" w:line="252" w:lineRule="auto"/>
            </w:pPr>
            <w:r>
              <w:rPr>
                <w:b w:val="0"/>
                <w:sz w:val="20"/>
              </w:rPr>
              <w:t xml:space="preserve">Selected material is brought into conversation with people who can contribute to the inquiry.</w:t>
            </w:r>
          </w:p>
        </w:tc>
        <w:tc>
          <w:tcPr>
            <w:tcW w:type="dxa" w:w="3168"/>
            <w:vAlign w:val="center"/>
            <w:tcBorders>
              <w:top w:val="single" w:sz="4" w:color="D9D9D9"/>
              <w:left w:val="single" w:sz="4" w:color="D9D9D9"/>
              <w:bottom w:val="single" w:sz="4" w:color="D9D9D9"/>
              <w:right w:val="single" w:sz="4" w:color="D9D9D9"/>
            </w:tcBorders>
            <w:tcMar>
              <w:top w:w="95" w:type="dxa"/>
              <w:left w:w="95" w:type="dxa"/>
              <w:bottom w:w="95" w:type="dxa"/>
              <w:right w:w="95" w:type="dxa"/>
            </w:tcMar>
          </w:tcPr>
          <w:p>
            <w:pPr>
              <w:spacing w:after="60" w:line="252" w:lineRule="auto"/>
            </w:pPr>
            <w:r>
              <w:rPr>
                <w:b w:val="0"/>
                <w:sz w:val="20"/>
              </w:rPr>
              <w:t xml:space="preserve">Useful responses and new connections</w:t>
            </w:r>
          </w:p>
        </w:tc>
      </w:tr>
      <w:tr>
        <w:tc>
          <w:tcPr>
            <w:tcW w:type="dxa" w:w="2016"/>
            <w:vAlign w:val="center"/>
            <w:tcBorders>
              <w:top w:val="single" w:sz="4" w:color="D9D9D9"/>
              <w:left w:val="single" w:sz="4" w:color="D9D9D9"/>
              <w:bottom w:val="single" w:sz="4" w:color="D9D9D9"/>
              <w:right w:val="single" w:sz="4" w:color="D9D9D9"/>
            </w:tcBorders>
            <w:tcMar>
              <w:top w:w="95" w:type="dxa"/>
              <w:left w:w="95" w:type="dxa"/>
              <w:bottom w:w="95" w:type="dxa"/>
              <w:right w:w="95" w:type="dxa"/>
            </w:tcMar>
          </w:tcPr>
          <w:p>
            <w:pPr>
              <w:spacing w:after="60" w:line="252" w:lineRule="auto"/>
            </w:pPr>
            <w:r>
              <w:rPr>
                <w:b w:val="0"/>
                <w:sz w:val="20"/>
              </w:rPr>
              <w:t xml:space="preserve">Continuation</w:t>
            </w:r>
          </w:p>
        </w:tc>
        <w:tc>
          <w:tcPr>
            <w:tcW w:type="dxa" w:w="4608"/>
            <w:vAlign w:val="center"/>
            <w:tcBorders>
              <w:top w:val="single" w:sz="4" w:color="D9D9D9"/>
              <w:left w:val="single" w:sz="4" w:color="D9D9D9"/>
              <w:bottom w:val="single" w:sz="4" w:color="D9D9D9"/>
              <w:right w:val="single" w:sz="4" w:color="D9D9D9"/>
            </w:tcBorders>
            <w:tcMar>
              <w:top w:w="95" w:type="dxa"/>
              <w:left w:w="95" w:type="dxa"/>
              <w:bottom w:w="95" w:type="dxa"/>
              <w:right w:w="95" w:type="dxa"/>
            </w:tcMar>
          </w:tcPr>
          <w:p>
            <w:pPr>
              <w:spacing w:after="60" w:line="252" w:lineRule="auto"/>
            </w:pPr>
            <w:r>
              <w:rPr>
                <w:b w:val="0"/>
                <w:sz w:val="20"/>
              </w:rPr>
              <w:t xml:space="preserve">Learning, equipment, resources and responsibilities are reviewed.</w:t>
            </w:r>
          </w:p>
        </w:tc>
        <w:tc>
          <w:tcPr>
            <w:tcW w:type="dxa" w:w="3168"/>
            <w:vAlign w:val="center"/>
            <w:tcBorders>
              <w:top w:val="single" w:sz="4" w:color="D9D9D9"/>
              <w:left w:val="single" w:sz="4" w:color="D9D9D9"/>
              <w:bottom w:val="single" w:sz="4" w:color="D9D9D9"/>
              <w:right w:val="single" w:sz="4" w:color="D9D9D9"/>
            </w:tcBorders>
            <w:tcMar>
              <w:top w:w="95" w:type="dxa"/>
              <w:left w:w="95" w:type="dxa"/>
              <w:bottom w:w="95" w:type="dxa"/>
              <w:right w:w="95" w:type="dxa"/>
            </w:tcMar>
          </w:tcPr>
          <w:p>
            <w:pPr>
              <w:spacing w:after="60" w:line="252" w:lineRule="auto"/>
            </w:pPr>
            <w:r>
              <w:rPr>
                <w:b w:val="0"/>
                <w:sz w:val="20"/>
              </w:rPr>
              <w:t xml:space="preserve">An agreed handover and realistic next steps</w:t>
            </w:r>
          </w:p>
        </w:tc>
      </w:tr>
    </w:tbl>
    <w:p/>
    <w:p>
      <w:pPr>
        <w:pStyle w:val="Heading2"/>
      </w:pPr>
      <w:r>
        <w:t xml:space="preserve">Preparation and care</w:t>
      </w:r>
    </w:p>
    <w:p>
      <w:r>
        <w:t xml:space="preserve">Allow time to prepare the tools before the group begins. Agree practical arrangements, equipment, safety and necessary competence before taking action. Observation does not authorise risky contact with water, soil, plants or installations. Agreed tasks are funded or their scope is openly limited. Ecological development and further collaboration may extend beyond a grant without being funded by it.</w:t>
      </w:r>
    </w:p>
    <w:p>
      <w:pPr>
        <w:pStyle w:val="Heading1"/>
        <w:pageBreakBefore/>
      </w:pPr>
      <w:bookmarkStart w:id="11" w:name="guide11"/>
      <w:r>
        <w:t xml:space="preserve">Stewardship economy and shared possibilities</w:t>
      </w:r>
      <w:bookmarkEnd w:id="11"/>
    </w:p>
    <w:p>
      <w:hyperlink r:id="rId18">
        <w:r>
          <w:rPr>
            <w:color w:val="286A68"/>
            <w:u w:val="single"/>
          </w:rPr>
          <w:t xml:space="preserve">Stewardship economy</w:t>
        </w:r>
      </w:hyperlink>
      <w:r>
        <w:t xml:space="preserve"> asks how work, knowledge, resources and responsibility can sustain the living conditions on which people and societies depend. Payment can protect time and people’s capacity to continue; it does not express the whole value of a person or place. The inquiry connects cultivation with the relationships and institutional conditions that make continued care possible.</w:t>
      </w:r>
    </w:p>
    <w:p>
      <w:hyperlink r:id="rId15">
        <w:r>
          <w:rPr>
            <w:color w:val="286A68"/>
            <w:u w:val="single"/>
          </w:rPr>
          <w:t xml:space="preserve">Abundance</w:t>
        </w:r>
      </w:hyperlink>
      <w:r>
        <w:t xml:space="preserve"> refers both to human creative capacity and to the possibilities that collaboration can open. The question is concrete: what is already here, what can be developed and what can we gain access to together? Possibilities may include materials, advice, skills, money, access and help with the workload. Scarcity and necessary costs remain visible.</w:t>
      </w:r>
    </w:p>
    <w:tbl>
      <w:tblPr>
        <w:tblW w:type="auto" w:w="0"/>
        <w:tblLayout w:type="fixed"/>
        <w:tblLook w:firstColumn="1" w:firstRow="1" w:lastColumn="0" w:lastRow="0" w:noHBand="0" w:noVBand="1" w:val="04A0"/>
      </w:tblPr>
      <w:tblGrid>
        <w:gridCol w:w="3096"/>
        <w:gridCol w:w="3240"/>
        <w:gridCol w:w="3456"/>
      </w:tblGrid>
      <w:tr>
        <w:trPr>
          <w:tblHeader/>
        </w:trPr>
        <w:tc>
          <w:tcPr>
            <w:tcW w:type="dxa" w:w="3312"/>
            <w:vAlign w:val="center"/>
            <w:tcBorders>
              <w:top w:val="single" w:sz="4" w:color="D9D9D9"/>
              <w:left w:val="single" w:sz="4" w:color="D9D9D9"/>
              <w:bottom w:val="single" w:sz="4" w:color="D9D9D9"/>
              <w:right w:val="single" w:sz="4" w:color="D9D9D9"/>
            </w:tcBorders>
            <w:tcMar>
              <w:top w:w="95" w:type="dxa"/>
              <w:left w:w="95" w:type="dxa"/>
              <w:bottom w:w="95" w:type="dxa"/>
              <w:right w:w="95" w:type="dxa"/>
            </w:tcMar>
            <w:shd w:fill="E7EFF3"/>
          </w:tcPr>
          <w:p>
            <w:pPr>
              <w:spacing w:after="60" w:line="252" w:lineRule="auto"/>
            </w:pPr>
            <w:r>
              <w:rPr>
                <w:b/>
                <w:sz w:val="20"/>
              </w:rPr>
              <w:t xml:space="preserve">Question from the field</w:t>
            </w:r>
          </w:p>
        </w:tc>
        <w:tc>
          <w:tcPr>
            <w:tcW w:type="dxa" w:w="3312"/>
            <w:vAlign w:val="center"/>
            <w:tcBorders>
              <w:top w:val="single" w:sz="4" w:color="D9D9D9"/>
              <w:left w:val="single" w:sz="4" w:color="D9D9D9"/>
              <w:bottom w:val="single" w:sz="4" w:color="D9D9D9"/>
              <w:right w:val="single" w:sz="4" w:color="D9D9D9"/>
            </w:tcBorders>
            <w:tcMar>
              <w:top w:w="95" w:type="dxa"/>
              <w:left w:w="95" w:type="dxa"/>
              <w:bottom w:w="95" w:type="dxa"/>
              <w:right w:w="95" w:type="dxa"/>
            </w:tcMar>
            <w:shd w:fill="E7EFF3"/>
          </w:tcPr>
          <w:p>
            <w:pPr>
              <w:spacing w:after="60" w:line="252" w:lineRule="auto"/>
            </w:pPr>
            <w:r>
              <w:rPr>
                <w:b/>
                <w:sz w:val="20"/>
              </w:rPr>
              <w:t xml:space="preserve">Possible connection</w:t>
            </w:r>
          </w:p>
        </w:tc>
        <w:tc>
          <w:tcPr>
            <w:tcW w:type="dxa" w:w="3312"/>
            <w:vAlign w:val="center"/>
            <w:tcBorders>
              <w:top w:val="single" w:sz="4" w:color="D9D9D9"/>
              <w:left w:val="single" w:sz="4" w:color="D9D9D9"/>
              <w:bottom w:val="single" w:sz="4" w:color="D9D9D9"/>
              <w:right w:val="single" w:sz="4" w:color="D9D9D9"/>
            </w:tcBorders>
            <w:tcMar>
              <w:top w:w="95" w:type="dxa"/>
              <w:left w:w="95" w:type="dxa"/>
              <w:bottom w:w="95" w:type="dxa"/>
              <w:right w:w="95" w:type="dxa"/>
            </w:tcMar>
            <w:shd w:fill="E7EFF3"/>
          </w:tcPr>
          <w:p>
            <w:pPr>
              <w:spacing w:after="60" w:line="252" w:lineRule="auto"/>
            </w:pPr>
            <w:r>
              <w:rPr>
                <w:b/>
                <w:sz w:val="20"/>
              </w:rPr>
              <w:t xml:space="preserve">Possible return</w:t>
            </w:r>
          </w:p>
        </w:tc>
      </w:tr>
      <w:tr>
        <w:tc>
          <w:tcPr>
            <w:tcW w:type="dxa" w:w="3096"/>
            <w:vAlign w:val="center"/>
            <w:tcBorders>
              <w:top w:val="single" w:sz="4" w:color="D9D9D9"/>
              <w:left w:val="single" w:sz="4" w:color="D9D9D9"/>
              <w:bottom w:val="single" w:sz="4" w:color="D9D9D9"/>
              <w:right w:val="single" w:sz="4" w:color="D9D9D9"/>
            </w:tcBorders>
            <w:tcMar>
              <w:top w:w="95" w:type="dxa"/>
              <w:left w:w="95" w:type="dxa"/>
              <w:bottom w:w="95" w:type="dxa"/>
              <w:right w:w="95" w:type="dxa"/>
            </w:tcMar>
          </w:tcPr>
          <w:p>
            <w:pPr>
              <w:spacing w:after="60" w:line="252" w:lineRule="auto"/>
            </w:pPr>
            <w:r>
              <w:rPr>
                <w:b w:val="0"/>
                <w:sz w:val="20"/>
              </w:rPr>
              <w:t xml:space="preserve">How does the soil retain moisture?</w:t>
            </w:r>
          </w:p>
        </w:tc>
        <w:tc>
          <w:tcPr>
            <w:tcW w:type="dxa" w:w="3240"/>
            <w:vAlign w:val="center"/>
            <w:tcBorders>
              <w:top w:val="single" w:sz="4" w:color="D9D9D9"/>
              <w:left w:val="single" w:sz="4" w:color="D9D9D9"/>
              <w:bottom w:val="single" w:sz="4" w:color="D9D9D9"/>
              <w:right w:val="single" w:sz="4" w:color="D9D9D9"/>
            </w:tcBorders>
            <w:tcMar>
              <w:top w:w="95" w:type="dxa"/>
              <w:left w:w="95" w:type="dxa"/>
              <w:bottom w:w="95" w:type="dxa"/>
              <w:right w:w="95" w:type="dxa"/>
            </w:tcMar>
          </w:tcPr>
          <w:p>
            <w:pPr>
              <w:spacing w:after="60" w:line="252" w:lineRule="auto"/>
            </w:pPr>
            <w:r>
              <w:rPr>
                <w:b w:val="0"/>
                <w:sz w:val="20"/>
              </w:rPr>
              <w:t xml:space="preserve">Neighbours with suitable surplus material</w:t>
            </w:r>
          </w:p>
        </w:tc>
        <w:tc>
          <w:tcPr>
            <w:tcW w:type="dxa" w:w="3456"/>
            <w:vAlign w:val="center"/>
            <w:tcBorders>
              <w:top w:val="single" w:sz="4" w:color="D9D9D9"/>
              <w:left w:val="single" w:sz="4" w:color="D9D9D9"/>
              <w:bottom w:val="single" w:sz="4" w:color="D9D9D9"/>
              <w:right w:val="single" w:sz="4" w:color="D9D9D9"/>
            </w:tcBorders>
            <w:tcMar>
              <w:top w:w="95" w:type="dxa"/>
              <w:left w:w="95" w:type="dxa"/>
              <w:bottom w:w="95" w:type="dxa"/>
              <w:right w:w="95" w:type="dxa"/>
            </w:tcMar>
          </w:tcPr>
          <w:p>
            <w:pPr>
              <w:spacing w:after="60" w:line="252" w:lineRule="auto"/>
            </w:pPr>
            <w:r>
              <w:rPr>
                <w:b w:val="0"/>
                <w:sz w:val="20"/>
              </w:rPr>
              <w:t xml:space="preserve">Soil cover and an agreement on transport</w:t>
            </w:r>
          </w:p>
        </w:tc>
      </w:tr>
      <w:tr>
        <w:tc>
          <w:tcPr>
            <w:tcW w:type="dxa" w:w="3096"/>
            <w:vAlign w:val="center"/>
            <w:tcBorders>
              <w:top w:val="single" w:sz="4" w:color="D9D9D9"/>
              <w:left w:val="single" w:sz="4" w:color="D9D9D9"/>
              <w:bottom w:val="single" w:sz="4" w:color="D9D9D9"/>
              <w:right w:val="single" w:sz="4" w:color="D9D9D9"/>
            </w:tcBorders>
            <w:tcMar>
              <w:top w:w="95" w:type="dxa"/>
              <w:left w:w="95" w:type="dxa"/>
              <w:bottom w:w="95" w:type="dxa"/>
              <w:right w:w="95" w:type="dxa"/>
            </w:tcMar>
          </w:tcPr>
          <w:p>
            <w:pPr>
              <w:spacing w:after="60" w:line="252" w:lineRule="auto"/>
            </w:pPr>
            <w:r>
              <w:rPr>
                <w:b w:val="0"/>
                <w:sz w:val="20"/>
              </w:rPr>
              <w:t xml:space="preserve">How can the soil be improved?</w:t>
            </w:r>
          </w:p>
        </w:tc>
        <w:tc>
          <w:tcPr>
            <w:tcW w:type="dxa" w:w="3240"/>
            <w:vAlign w:val="center"/>
            <w:tcBorders>
              <w:top w:val="single" w:sz="4" w:color="D9D9D9"/>
              <w:left w:val="single" w:sz="4" w:color="D9D9D9"/>
              <w:bottom w:val="single" w:sz="4" w:color="D9D9D9"/>
              <w:right w:val="single" w:sz="4" w:color="D9D9D9"/>
            </w:tcBorders>
            <w:tcMar>
              <w:top w:w="95" w:type="dxa"/>
              <w:left w:w="95" w:type="dxa"/>
              <w:bottom w:w="95" w:type="dxa"/>
              <w:right w:w="95" w:type="dxa"/>
            </w:tcMar>
          </w:tcPr>
          <w:p>
            <w:pPr>
              <w:spacing w:after="60" w:line="252" w:lineRule="auto"/>
            </w:pPr>
            <w:r>
              <w:rPr>
                <w:b w:val="0"/>
                <w:sz w:val="20"/>
              </w:rPr>
              <w:t xml:space="preserve">People with composting knowledge and livestock keepers</w:t>
            </w:r>
          </w:p>
        </w:tc>
        <w:tc>
          <w:tcPr>
            <w:tcW w:type="dxa" w:w="3456"/>
            <w:vAlign w:val="center"/>
            <w:tcBorders>
              <w:top w:val="single" w:sz="4" w:color="D9D9D9"/>
              <w:left w:val="single" w:sz="4" w:color="D9D9D9"/>
              <w:bottom w:val="single" w:sz="4" w:color="D9D9D9"/>
              <w:right w:val="single" w:sz="4" w:color="D9D9D9"/>
            </w:tcBorders>
            <w:tcMar>
              <w:top w:w="95" w:type="dxa"/>
              <w:left w:w="95" w:type="dxa"/>
              <w:bottom w:w="95" w:type="dxa"/>
              <w:right w:w="95" w:type="dxa"/>
            </w:tcMar>
          </w:tcPr>
          <w:p>
            <w:pPr>
              <w:spacing w:after="60" w:line="252" w:lineRule="auto"/>
            </w:pPr>
            <w:r>
              <w:rPr>
                <w:b w:val="0"/>
                <w:sz w:val="20"/>
              </w:rPr>
              <w:t xml:space="preserve">Suitable compost or manure, with advice</w:t>
            </w:r>
          </w:p>
        </w:tc>
      </w:tr>
      <w:tr>
        <w:tc>
          <w:tcPr>
            <w:tcW w:type="dxa" w:w="3096"/>
            <w:vAlign w:val="center"/>
            <w:tcBorders>
              <w:top w:val="single" w:sz="4" w:color="D9D9D9"/>
              <w:left w:val="single" w:sz="4" w:color="D9D9D9"/>
              <w:bottom w:val="single" w:sz="4" w:color="D9D9D9"/>
              <w:right w:val="single" w:sz="4" w:color="D9D9D9"/>
            </w:tcBorders>
            <w:tcMar>
              <w:top w:w="95" w:type="dxa"/>
              <w:left w:w="95" w:type="dxa"/>
              <w:bottom w:w="95" w:type="dxa"/>
              <w:right w:w="95" w:type="dxa"/>
            </w:tcMar>
          </w:tcPr>
          <w:p>
            <w:pPr>
              <w:spacing w:after="60" w:line="252" w:lineRule="auto"/>
            </w:pPr>
            <w:r>
              <w:rPr>
                <w:b w:val="0"/>
                <w:sz w:val="20"/>
              </w:rPr>
              <w:t xml:space="preserve">How can we grow more plants?</w:t>
            </w:r>
          </w:p>
        </w:tc>
        <w:tc>
          <w:tcPr>
            <w:tcW w:type="dxa" w:w="3240"/>
            <w:vAlign w:val="center"/>
            <w:tcBorders>
              <w:top w:val="single" w:sz="4" w:color="D9D9D9"/>
              <w:left w:val="single" w:sz="4" w:color="D9D9D9"/>
              <w:bottom w:val="single" w:sz="4" w:color="D9D9D9"/>
              <w:right w:val="single" w:sz="4" w:color="D9D9D9"/>
            </w:tcBorders>
            <w:tcMar>
              <w:top w:w="95" w:type="dxa"/>
              <w:left w:w="95" w:type="dxa"/>
              <w:bottom w:w="95" w:type="dxa"/>
              <w:right w:w="95" w:type="dxa"/>
            </w:tcMar>
          </w:tcPr>
          <w:p>
            <w:pPr>
              <w:spacing w:after="60" w:line="252" w:lineRule="auto"/>
            </w:pPr>
            <w:r>
              <w:rPr>
                <w:b w:val="0"/>
                <w:sz w:val="20"/>
              </w:rPr>
              <w:t xml:space="preserve">A seed-sharing group or farm school</w:t>
            </w:r>
          </w:p>
        </w:tc>
        <w:tc>
          <w:tcPr>
            <w:tcW w:type="dxa" w:w="3456"/>
            <w:vAlign w:val="center"/>
            <w:tcBorders>
              <w:top w:val="single" w:sz="4" w:color="D9D9D9"/>
              <w:left w:val="single" w:sz="4" w:color="D9D9D9"/>
              <w:bottom w:val="single" w:sz="4" w:color="D9D9D9"/>
              <w:right w:val="single" w:sz="4" w:color="D9D9D9"/>
            </w:tcBorders>
            <w:tcMar>
              <w:top w:w="95" w:type="dxa"/>
              <w:left w:w="95" w:type="dxa"/>
              <w:bottom w:w="95" w:type="dxa"/>
              <w:right w:w="95" w:type="dxa"/>
            </w:tcMar>
          </w:tcPr>
          <w:p>
            <w:pPr>
              <w:spacing w:after="60" w:line="252" w:lineRule="auto"/>
            </w:pPr>
            <w:r>
              <w:rPr>
                <w:b w:val="0"/>
                <w:sz w:val="20"/>
              </w:rPr>
              <w:t xml:space="preserve">Seeds, cuttings and propagation skills</w:t>
            </w:r>
          </w:p>
        </w:tc>
      </w:tr>
      <w:tr>
        <w:tc>
          <w:tcPr>
            <w:tcW w:type="dxa" w:w="3096"/>
            <w:vAlign w:val="center"/>
            <w:tcBorders>
              <w:top w:val="single" w:sz="4" w:color="D9D9D9"/>
              <w:left w:val="single" w:sz="4" w:color="D9D9D9"/>
              <w:bottom w:val="single" w:sz="4" w:color="D9D9D9"/>
              <w:right w:val="single" w:sz="4" w:color="D9D9D9"/>
            </w:tcBorders>
            <w:tcMar>
              <w:top w:w="95" w:type="dxa"/>
              <w:left w:w="95" w:type="dxa"/>
              <w:bottom w:w="95" w:type="dxa"/>
              <w:right w:w="95" w:type="dxa"/>
            </w:tcMar>
          </w:tcPr>
          <w:p>
            <w:pPr>
              <w:spacing w:after="60" w:line="252" w:lineRule="auto"/>
            </w:pPr>
            <w:r>
              <w:rPr>
                <w:b w:val="0"/>
                <w:sz w:val="20"/>
              </w:rPr>
              <w:t xml:space="preserve">How can irrigation be improved?</w:t>
            </w:r>
          </w:p>
        </w:tc>
        <w:tc>
          <w:tcPr>
            <w:tcW w:type="dxa" w:w="3240"/>
            <w:vAlign w:val="center"/>
            <w:tcBorders>
              <w:top w:val="single" w:sz="4" w:color="D9D9D9"/>
              <w:left w:val="single" w:sz="4" w:color="D9D9D9"/>
              <w:bottom w:val="single" w:sz="4" w:color="D9D9D9"/>
              <w:right w:val="single" w:sz="4" w:color="D9D9D9"/>
            </w:tcBorders>
            <w:tcMar>
              <w:top w:w="95" w:type="dxa"/>
              <w:left w:w="95" w:type="dxa"/>
              <w:bottom w:w="95" w:type="dxa"/>
              <w:right w:w="95" w:type="dxa"/>
            </w:tcMar>
          </w:tcPr>
          <w:p>
            <w:pPr>
              <w:spacing w:after="60" w:line="252" w:lineRule="auto"/>
            </w:pPr>
            <w:r>
              <w:rPr>
                <w:b w:val="0"/>
                <w:sz w:val="20"/>
              </w:rPr>
              <w:t xml:space="preserve">Growers and technical advice</w:t>
            </w:r>
          </w:p>
        </w:tc>
        <w:tc>
          <w:tcPr>
            <w:tcW w:type="dxa" w:w="3456"/>
            <w:vAlign w:val="center"/>
            <w:tcBorders>
              <w:top w:val="single" w:sz="4" w:color="D9D9D9"/>
              <w:left w:val="single" w:sz="4" w:color="D9D9D9"/>
              <w:bottom w:val="single" w:sz="4" w:color="D9D9D9"/>
              <w:right w:val="single" w:sz="4" w:color="D9D9D9"/>
            </w:tcBorders>
            <w:tcMar>
              <w:top w:w="95" w:type="dxa"/>
              <w:left w:w="95" w:type="dxa"/>
              <w:bottom w:w="95" w:type="dxa"/>
              <w:right w:w="95" w:type="dxa"/>
            </w:tcMar>
          </w:tcPr>
          <w:p>
            <w:pPr>
              <w:spacing w:after="60" w:line="252" w:lineRule="auto"/>
            </w:pPr>
            <w:r>
              <w:rPr>
                <w:b w:val="0"/>
                <w:sz w:val="20"/>
              </w:rPr>
              <w:t xml:space="preserve">A trial, a repair or a budget</w:t>
            </w:r>
          </w:p>
        </w:tc>
      </w:tr>
      <w:tr>
        <w:tc>
          <w:tcPr>
            <w:tcW w:type="dxa" w:w="3096"/>
            <w:vAlign w:val="center"/>
            <w:tcBorders>
              <w:top w:val="single" w:sz="4" w:color="D9D9D9"/>
              <w:left w:val="single" w:sz="4" w:color="D9D9D9"/>
              <w:bottom w:val="single" w:sz="4" w:color="D9D9D9"/>
              <w:right w:val="single" w:sz="4" w:color="D9D9D9"/>
            </w:tcBorders>
            <w:tcMar>
              <w:top w:w="95" w:type="dxa"/>
              <w:left w:w="95" w:type="dxa"/>
              <w:bottom w:w="95" w:type="dxa"/>
              <w:right w:w="95" w:type="dxa"/>
            </w:tcMar>
          </w:tcPr>
          <w:p>
            <w:pPr>
              <w:spacing w:after="60" w:line="252" w:lineRule="auto"/>
            </w:pPr>
            <w:r>
              <w:rPr>
                <w:b w:val="0"/>
                <w:sz w:val="20"/>
              </w:rPr>
              <w:t xml:space="preserve">What explains this damage?</w:t>
            </w:r>
          </w:p>
        </w:tc>
        <w:tc>
          <w:tcPr>
            <w:tcW w:type="dxa" w:w="3240"/>
            <w:vAlign w:val="center"/>
            <w:tcBorders>
              <w:top w:val="single" w:sz="4" w:color="D9D9D9"/>
              <w:left w:val="single" w:sz="4" w:color="D9D9D9"/>
              <w:bottom w:val="single" w:sz="4" w:color="D9D9D9"/>
              <w:right w:val="single" w:sz="4" w:color="D9D9D9"/>
            </w:tcBorders>
            <w:tcMar>
              <w:top w:w="95" w:type="dxa"/>
              <w:left w:w="95" w:type="dxa"/>
              <w:bottom w:w="95" w:type="dxa"/>
              <w:right w:w="95" w:type="dxa"/>
            </w:tcMar>
          </w:tcPr>
          <w:p>
            <w:pPr>
              <w:spacing w:after="60" w:line="252" w:lineRule="auto"/>
            </w:pPr>
            <w:r>
              <w:rPr>
                <w:b w:val="0"/>
                <w:sz w:val="20"/>
              </w:rPr>
              <w:t xml:space="preserve">A specialist in the subject</w:t>
            </w:r>
          </w:p>
        </w:tc>
        <w:tc>
          <w:tcPr>
            <w:tcW w:type="dxa" w:w="3456"/>
            <w:vAlign w:val="center"/>
            <w:tcBorders>
              <w:top w:val="single" w:sz="4" w:color="D9D9D9"/>
              <w:left w:val="single" w:sz="4" w:color="D9D9D9"/>
              <w:bottom w:val="single" w:sz="4" w:color="D9D9D9"/>
              <w:right w:val="single" w:sz="4" w:color="D9D9D9"/>
            </w:tcBorders>
            <w:tcMar>
              <w:top w:w="95" w:type="dxa"/>
              <w:left w:w="95" w:type="dxa"/>
              <w:bottom w:w="95" w:type="dxa"/>
              <w:right w:w="95" w:type="dxa"/>
            </w:tcMar>
          </w:tcPr>
          <w:p>
            <w:pPr>
              <w:spacing w:after="60" w:line="252" w:lineRule="auto"/>
            </w:pPr>
            <w:r>
              <w:rPr>
                <w:b w:val="0"/>
                <w:sz w:val="20"/>
              </w:rPr>
              <w:t xml:space="preserve">An assessment and a safe next step</w:t>
            </w:r>
          </w:p>
        </w:tc>
      </w:tr>
      <w:tr>
        <w:tc>
          <w:tcPr>
            <w:tcW w:type="dxa" w:w="3096"/>
            <w:vAlign w:val="center"/>
            <w:tcBorders>
              <w:top w:val="single" w:sz="4" w:color="D9D9D9"/>
              <w:left w:val="single" w:sz="4" w:color="D9D9D9"/>
              <w:bottom w:val="single" w:sz="4" w:color="D9D9D9"/>
              <w:right w:val="single" w:sz="4" w:color="D9D9D9"/>
            </w:tcBorders>
            <w:tcMar>
              <w:top w:w="95" w:type="dxa"/>
              <w:left w:w="95" w:type="dxa"/>
              <w:bottom w:w="95" w:type="dxa"/>
              <w:right w:w="95" w:type="dxa"/>
            </w:tcMar>
          </w:tcPr>
          <w:p>
            <w:pPr>
              <w:spacing w:after="60" w:line="252" w:lineRule="auto"/>
            </w:pPr>
            <w:r>
              <w:rPr>
                <w:b w:val="0"/>
                <w:sz w:val="20"/>
              </w:rPr>
              <w:t xml:space="preserve">How can the experience be shared?</w:t>
            </w:r>
          </w:p>
        </w:tc>
        <w:tc>
          <w:tcPr>
            <w:tcW w:type="dxa" w:w="3240"/>
            <w:vAlign w:val="center"/>
            <w:tcBorders>
              <w:top w:val="single" w:sz="4" w:color="D9D9D9"/>
              <w:left w:val="single" w:sz="4" w:color="D9D9D9"/>
              <w:bottom w:val="single" w:sz="4" w:color="D9D9D9"/>
              <w:right w:val="single" w:sz="4" w:color="D9D9D9"/>
            </w:tcBorders>
            <w:tcMar>
              <w:top w:w="95" w:type="dxa"/>
              <w:left w:w="95" w:type="dxa"/>
              <w:bottom w:w="95" w:type="dxa"/>
              <w:right w:w="95" w:type="dxa"/>
            </w:tcMar>
          </w:tcPr>
          <w:p>
            <w:pPr>
              <w:spacing w:after="60" w:line="252" w:lineRule="auto"/>
            </w:pPr>
            <w:r>
              <w:rPr>
                <w:b w:val="0"/>
                <w:sz w:val="20"/>
              </w:rPr>
              <w:t xml:space="preserve">Other growers and learning groups</w:t>
            </w:r>
          </w:p>
        </w:tc>
        <w:tc>
          <w:tcPr>
            <w:tcW w:type="dxa" w:w="3456"/>
            <w:vAlign w:val="center"/>
            <w:tcBorders>
              <w:top w:val="single" w:sz="4" w:color="D9D9D9"/>
              <w:left w:val="single" w:sz="4" w:color="D9D9D9"/>
              <w:bottom w:val="single" w:sz="4" w:color="D9D9D9"/>
              <w:right w:val="single" w:sz="4" w:color="D9D9D9"/>
            </w:tcBorders>
            <w:tcMar>
              <w:top w:w="95" w:type="dxa"/>
              <w:left w:w="95" w:type="dxa"/>
              <w:bottom w:w="95" w:type="dxa"/>
              <w:right w:w="95" w:type="dxa"/>
            </w:tcMar>
          </w:tcPr>
          <w:p>
            <w:pPr>
              <w:spacing w:after="60" w:line="252" w:lineRule="auto"/>
            </w:pPr>
            <w:r>
              <w:rPr>
                <w:b w:val="0"/>
                <w:sz w:val="20"/>
              </w:rPr>
              <w:t xml:space="preserve">A demonstration or learning material</w:t>
            </w:r>
          </w:p>
        </w:tc>
      </w:tr>
      <w:tr>
        <w:tc>
          <w:tcPr>
            <w:tcW w:type="dxa" w:w="3096"/>
            <w:vAlign w:val="center"/>
            <w:tcBorders>
              <w:top w:val="single" w:sz="4" w:color="D9D9D9"/>
              <w:left w:val="single" w:sz="4" w:color="D9D9D9"/>
              <w:bottom w:val="single" w:sz="4" w:color="D9D9D9"/>
              <w:right w:val="single" w:sz="4" w:color="D9D9D9"/>
            </w:tcBorders>
            <w:tcMar>
              <w:top w:w="95" w:type="dxa"/>
              <w:left w:w="95" w:type="dxa"/>
              <w:bottom w:w="95" w:type="dxa"/>
              <w:right w:w="95" w:type="dxa"/>
            </w:tcMar>
          </w:tcPr>
          <w:p>
            <w:pPr>
              <w:spacing w:after="60" w:line="252" w:lineRule="auto"/>
            </w:pPr>
            <w:r>
              <w:rPr>
                <w:b w:val="0"/>
                <w:sz w:val="20"/>
              </w:rPr>
              <w:t xml:space="preserve">How can the next step be funded?</w:t>
            </w:r>
          </w:p>
        </w:tc>
        <w:tc>
          <w:tcPr>
            <w:tcW w:type="dxa" w:w="3240"/>
            <w:vAlign w:val="center"/>
            <w:tcBorders>
              <w:top w:val="single" w:sz="4" w:color="D9D9D9"/>
              <w:left w:val="single" w:sz="4" w:color="D9D9D9"/>
              <w:bottom w:val="single" w:sz="4" w:color="D9D9D9"/>
              <w:right w:val="single" w:sz="4" w:color="D9D9D9"/>
            </w:tcBorders>
            <w:tcMar>
              <w:top w:w="95" w:type="dxa"/>
              <w:left w:w="95" w:type="dxa"/>
              <w:bottom w:w="95" w:type="dxa"/>
              <w:right w:w="95" w:type="dxa"/>
            </w:tcMar>
          </w:tcPr>
          <w:p>
            <w:pPr>
              <w:spacing w:after="60" w:line="252" w:lineRule="auto"/>
            </w:pPr>
            <w:r>
              <w:rPr>
                <w:b w:val="0"/>
                <w:sz w:val="20"/>
              </w:rPr>
              <w:t xml:space="preserve">The group’s proposal and dialogue</w:t>
            </w:r>
          </w:p>
        </w:tc>
        <w:tc>
          <w:tcPr>
            <w:tcW w:type="dxa" w:w="3456"/>
            <w:vAlign w:val="center"/>
            <w:tcBorders>
              <w:top w:val="single" w:sz="4" w:color="D9D9D9"/>
              <w:left w:val="single" w:sz="4" w:color="D9D9D9"/>
              <w:bottom w:val="single" w:sz="4" w:color="D9D9D9"/>
              <w:right w:val="single" w:sz="4" w:color="D9D9D9"/>
            </w:tcBorders>
            <w:tcMar>
              <w:top w:w="95" w:type="dxa"/>
              <w:left w:w="95" w:type="dxa"/>
              <w:bottom w:w="95" w:type="dxa"/>
              <w:right w:w="95" w:type="dxa"/>
            </w:tcMar>
          </w:tcPr>
          <w:p>
            <w:pPr>
              <w:spacing w:after="60" w:line="252" w:lineRule="auto"/>
            </w:pPr>
            <w:r>
              <w:rPr>
                <w:b w:val="0"/>
                <w:sz w:val="20"/>
              </w:rPr>
              <w:t xml:space="preserve">A specific request with evidence and prices</w:t>
            </w:r>
          </w:p>
        </w:tc>
      </w:tr>
      <w:tr>
        <w:tc>
          <w:tcPr>
            <w:tcW w:type="dxa" w:w="3096"/>
            <w:vAlign w:val="center"/>
            <w:tcBorders>
              <w:top w:val="single" w:sz="4" w:color="D9D9D9"/>
              <w:left w:val="single" w:sz="4" w:color="D9D9D9"/>
              <w:bottom w:val="single" w:sz="4" w:color="D9D9D9"/>
              <w:right w:val="single" w:sz="4" w:color="D9D9D9"/>
            </w:tcBorders>
            <w:tcMar>
              <w:top w:w="95" w:type="dxa"/>
              <w:left w:w="95" w:type="dxa"/>
              <w:bottom w:w="95" w:type="dxa"/>
              <w:right w:w="95" w:type="dxa"/>
            </w:tcMar>
          </w:tcPr>
          <w:p>
            <w:pPr>
              <w:spacing w:after="60" w:line="252" w:lineRule="auto"/>
            </w:pPr>
            <w:r>
              <w:rPr>
                <w:b w:val="0"/>
                <w:sz w:val="20"/>
              </w:rPr>
              <w:t xml:space="preserve">Who can carry the work?</w:t>
            </w:r>
          </w:p>
        </w:tc>
        <w:tc>
          <w:tcPr>
            <w:tcW w:type="dxa" w:w="3240"/>
            <w:vAlign w:val="center"/>
            <w:tcBorders>
              <w:top w:val="single" w:sz="4" w:color="D9D9D9"/>
              <w:left w:val="single" w:sz="4" w:color="D9D9D9"/>
              <w:bottom w:val="single" w:sz="4" w:color="D9D9D9"/>
              <w:right w:val="single" w:sz="4" w:color="D9D9D9"/>
            </w:tcBorders>
            <w:tcMar>
              <w:top w:w="95" w:type="dxa"/>
              <w:left w:w="95" w:type="dxa"/>
              <w:bottom w:w="95" w:type="dxa"/>
              <w:right w:w="95" w:type="dxa"/>
            </w:tcMar>
          </w:tcPr>
          <w:p>
            <w:pPr>
              <w:spacing w:after="60" w:line="252" w:lineRule="auto"/>
            </w:pPr>
            <w:r>
              <w:rPr>
                <w:b w:val="0"/>
                <w:sz w:val="20"/>
              </w:rPr>
              <w:t xml:space="preserve">A shared review of tasks</w:t>
            </w:r>
          </w:p>
        </w:tc>
        <w:tc>
          <w:tcPr>
            <w:tcW w:type="dxa" w:w="3456"/>
            <w:vAlign w:val="center"/>
            <w:tcBorders>
              <w:top w:val="single" w:sz="4" w:color="D9D9D9"/>
              <w:left w:val="single" w:sz="4" w:color="D9D9D9"/>
              <w:bottom w:val="single" w:sz="4" w:color="D9D9D9"/>
              <w:right w:val="single" w:sz="4" w:color="D9D9D9"/>
            </w:tcBorders>
            <w:tcMar>
              <w:top w:w="95" w:type="dxa"/>
              <w:left w:w="95" w:type="dxa"/>
              <w:bottom w:w="95" w:type="dxa"/>
              <w:right w:w="95" w:type="dxa"/>
            </w:tcMar>
          </w:tcPr>
          <w:p>
            <w:pPr>
              <w:spacing w:after="60" w:line="252" w:lineRule="auto"/>
            </w:pPr>
            <w:r>
              <w:rPr>
                <w:b w:val="0"/>
                <w:sz w:val="20"/>
              </w:rPr>
              <w:t xml:space="preserve">Cover and a handover of responsibility</w:t>
            </w:r>
          </w:p>
        </w:tc>
      </w:tr>
    </w:tbl>
    <w:p/>
    <w:p>
      <w:pPr>
        <w:pStyle w:val="Heading2"/>
      </w:pPr>
      <w:r>
        <w:t xml:space="preserve">Follow the contribution back into practice</w:t>
      </w:r>
    </w:p>
    <w:p>
      <w:r>
        <w:t xml:space="preserve">Distinguish an idea, a contact, an agreement, a contribution received and an actual effect. Check suitability, safety, transport, working time, ownership and subsequent responsibility. A possible donation is not a resource already received. Record offers that were declined and work that would otherwise stay hidden, where this is possible within agreed boundaries.</w:t>
      </w:r>
    </w:p>
    <w:p>
      <w:hyperlink r:id="rId19">
        <w:r>
          <w:rPr>
            <w:color w:val="286A68"/>
            <w:u w:val="single"/>
          </w:rPr>
          <w:t xml:space="preserve">The Steward’s Journey</w:t>
        </w:r>
      </w:hyperlink>
      <w:r>
        <w:t xml:space="preserve"> describes several possible relationships to the work, without a fixed sequence. A grower may investigate their own place, exchange experience with others or enter a limited agreement for a trial. Support needs its own agreement; it is not earned by progressing through prescribed stages. Peer teaching and fundraising can develop where people wish and are able to pursue them.</w:t>
      </w:r>
    </w:p>
    <w:p>
      <w:pPr>
        <w:pStyle w:val="Heading1"/>
        <w:pageBreakBefore/>
      </w:pPr>
      <w:bookmarkStart w:id="12" w:name="guide12"/>
      <w:r>
        <w:t xml:space="preserve">Shared memory, responsibility and verification</w:t>
      </w:r>
      <w:bookmarkEnd w:id="12"/>
    </w:p>
    <w:p>
      <w:hyperlink r:id="rId16">
        <w:r>
          <w:rPr>
            <w:color w:val="286A68"/>
            <w:u w:val="single"/>
          </w:rPr>
          <w:t xml:space="preserve">PG Ledger</w:t>
        </w:r>
      </w:hyperlink>
      <w:r>
        <w:t xml:space="preserve"> connects selected observations with actions, decisions, resources and later consequences. Use the forms according to the task. Reuse originals and references; the same material is not rewritten into several parallel truths.</w:t>
      </w:r>
    </w:p>
    <w:tbl>
      <w:tblPr>
        <w:tblW w:type="auto" w:w="0"/>
        <w:tblLayout w:type="fixed"/>
        <w:tblLook w:firstColumn="1" w:firstRow="1" w:lastColumn="0" w:lastRow="0" w:noHBand="0" w:noVBand="1" w:val="04A0"/>
      </w:tblPr>
      <w:tblGrid>
        <w:gridCol w:w="3240"/>
        <w:gridCol w:w="6552"/>
      </w:tblGrid>
      <w:tr>
        <w:trPr>
          <w:tblHeader/>
        </w:trPr>
        <w:tc>
          <w:tcPr>
            <w:tcW w:type="dxa" w:w="4968"/>
            <w:vAlign w:val="center"/>
            <w:tcBorders>
              <w:top w:val="single" w:sz="4" w:color="D9D9D9"/>
              <w:left w:val="single" w:sz="4" w:color="D9D9D9"/>
              <w:bottom w:val="single" w:sz="4" w:color="D9D9D9"/>
              <w:right w:val="single" w:sz="4" w:color="D9D9D9"/>
            </w:tcBorders>
            <w:tcMar>
              <w:top w:w="95" w:type="dxa"/>
              <w:left w:w="95" w:type="dxa"/>
              <w:bottom w:w="95" w:type="dxa"/>
              <w:right w:w="95" w:type="dxa"/>
            </w:tcMar>
            <w:shd w:fill="E7EFF3"/>
          </w:tcPr>
          <w:p>
            <w:pPr>
              <w:spacing w:after="60" w:line="252" w:lineRule="auto"/>
            </w:pPr>
            <w:r>
              <w:rPr>
                <w:b/>
                <w:sz w:val="20"/>
              </w:rPr>
              <w:t xml:space="preserve">Operational format</w:t>
            </w:r>
          </w:p>
        </w:tc>
        <w:tc>
          <w:tcPr>
            <w:tcW w:type="dxa" w:w="4968"/>
            <w:vAlign w:val="center"/>
            <w:tcBorders>
              <w:top w:val="single" w:sz="4" w:color="D9D9D9"/>
              <w:left w:val="single" w:sz="4" w:color="D9D9D9"/>
              <w:bottom w:val="single" w:sz="4" w:color="D9D9D9"/>
              <w:right w:val="single" w:sz="4" w:color="D9D9D9"/>
            </w:tcBorders>
            <w:tcMar>
              <w:top w:w="95" w:type="dxa"/>
              <w:left w:w="95" w:type="dxa"/>
              <w:bottom w:w="95" w:type="dxa"/>
              <w:right w:w="95" w:type="dxa"/>
            </w:tcMar>
            <w:shd w:fill="E7EFF3"/>
          </w:tcPr>
          <w:p>
            <w:pPr>
              <w:spacing w:after="60" w:line="252" w:lineRule="auto"/>
            </w:pPr>
            <w:r>
              <w:rPr>
                <w:b/>
                <w:sz w:val="20"/>
              </w:rPr>
              <w:t xml:space="preserve">Function</w:t>
            </w:r>
          </w:p>
        </w:tc>
      </w:tr>
      <w:tr>
        <w:tc>
          <w:tcPr>
            <w:tcW w:type="dxa" w:w="3240"/>
            <w:vAlign w:val="center"/>
            <w:tcBorders>
              <w:top w:val="single" w:sz="4" w:color="D9D9D9"/>
              <w:left w:val="single" w:sz="4" w:color="D9D9D9"/>
              <w:bottom w:val="single" w:sz="4" w:color="D9D9D9"/>
              <w:right w:val="single" w:sz="4" w:color="D9D9D9"/>
            </w:tcBorders>
            <w:tcMar>
              <w:top w:w="95" w:type="dxa"/>
              <w:left w:w="95" w:type="dxa"/>
              <w:bottom w:w="95" w:type="dxa"/>
              <w:right w:w="95" w:type="dxa"/>
            </w:tcMar>
          </w:tcPr>
          <w:p>
            <w:pPr>
              <w:spacing w:after="60" w:line="252" w:lineRule="auto"/>
            </w:pPr>
            <w:r>
              <w:rPr>
                <w:b w:val="0"/>
                <w:sz w:val="20"/>
              </w:rPr>
              <w:t xml:space="preserve">Observation</w:t>
            </w:r>
          </w:p>
        </w:tc>
        <w:tc>
          <w:tcPr>
            <w:tcW w:type="dxa" w:w="6552"/>
            <w:vAlign w:val="center"/>
            <w:tcBorders>
              <w:top w:val="single" w:sz="4" w:color="D9D9D9"/>
              <w:left w:val="single" w:sz="4" w:color="D9D9D9"/>
              <w:bottom w:val="single" w:sz="4" w:color="D9D9D9"/>
              <w:right w:val="single" w:sz="4" w:color="D9D9D9"/>
            </w:tcBorders>
            <w:tcMar>
              <w:top w:w="95" w:type="dxa"/>
              <w:left w:w="95" w:type="dxa"/>
              <w:bottom w:w="95" w:type="dxa"/>
              <w:right w:w="95" w:type="dxa"/>
            </w:tcMar>
          </w:tcPr>
          <w:p>
            <w:pPr>
              <w:spacing w:after="60" w:line="252" w:lineRule="auto"/>
            </w:pPr>
            <w:r>
              <w:rPr>
                <w:b w:val="0"/>
                <w:sz w:val="20"/>
              </w:rPr>
              <w:t xml:space="preserve">Preserves what was observed, its source, context and uncertainty.</w:t>
            </w:r>
          </w:p>
        </w:tc>
      </w:tr>
      <w:tr>
        <w:tc>
          <w:tcPr>
            <w:tcW w:type="dxa" w:w="3240"/>
            <w:vAlign w:val="center"/>
            <w:tcBorders>
              <w:top w:val="single" w:sz="4" w:color="D9D9D9"/>
              <w:left w:val="single" w:sz="4" w:color="D9D9D9"/>
              <w:bottom w:val="single" w:sz="4" w:color="D9D9D9"/>
              <w:right w:val="single" w:sz="4" w:color="D9D9D9"/>
            </w:tcBorders>
            <w:tcMar>
              <w:top w:w="95" w:type="dxa"/>
              <w:left w:w="95" w:type="dxa"/>
              <w:bottom w:w="95" w:type="dxa"/>
              <w:right w:w="95" w:type="dxa"/>
            </w:tcMar>
          </w:tcPr>
          <w:p>
            <w:pPr>
              <w:spacing w:after="60" w:line="252" w:lineRule="auto"/>
            </w:pPr>
            <w:r>
              <w:rPr>
                <w:b w:val="0"/>
                <w:sz w:val="20"/>
              </w:rPr>
              <w:t xml:space="preserve">Bounded action</w:t>
            </w:r>
          </w:p>
        </w:tc>
        <w:tc>
          <w:tcPr>
            <w:tcW w:type="dxa" w:w="6552"/>
            <w:vAlign w:val="center"/>
            <w:tcBorders>
              <w:top w:val="single" w:sz="4" w:color="D9D9D9"/>
              <w:left w:val="single" w:sz="4" w:color="D9D9D9"/>
              <w:bottom w:val="single" w:sz="4" w:color="D9D9D9"/>
              <w:right w:val="single" w:sz="4" w:color="D9D9D9"/>
            </w:tcBorders>
            <w:tcMar>
              <w:top w:w="95" w:type="dxa"/>
              <w:left w:w="95" w:type="dxa"/>
              <w:bottom w:w="95" w:type="dxa"/>
              <w:right w:w="95" w:type="dxa"/>
            </w:tcMar>
          </w:tcPr>
          <w:p>
            <w:pPr>
              <w:spacing w:after="60" w:line="252" w:lineRule="auto"/>
            </w:pPr>
            <w:r>
              <w:rPr>
                <w:b w:val="0"/>
                <w:sz w:val="20"/>
              </w:rPr>
              <w:t xml:space="preserve">Defines up to three actions that can be sustained, with responsibility, a way to stop and a return.</w:t>
            </w:r>
          </w:p>
        </w:tc>
      </w:tr>
      <w:tr>
        <w:tc>
          <w:tcPr>
            <w:tcW w:type="dxa" w:w="3240"/>
            <w:vAlign w:val="center"/>
            <w:tcBorders>
              <w:top w:val="single" w:sz="4" w:color="D9D9D9"/>
              <w:left w:val="single" w:sz="4" w:color="D9D9D9"/>
              <w:bottom w:val="single" w:sz="4" w:color="D9D9D9"/>
              <w:right w:val="single" w:sz="4" w:color="D9D9D9"/>
            </w:tcBorders>
            <w:tcMar>
              <w:top w:w="95" w:type="dxa"/>
              <w:left w:w="95" w:type="dxa"/>
              <w:bottom w:w="95" w:type="dxa"/>
              <w:right w:w="95" w:type="dxa"/>
            </w:tcMar>
          </w:tcPr>
          <w:p>
            <w:pPr>
              <w:spacing w:after="60" w:line="252" w:lineRule="auto"/>
            </w:pPr>
            <w:r>
              <w:rPr>
                <w:b w:val="0"/>
                <w:sz w:val="20"/>
              </w:rPr>
              <w:t xml:space="preserve">Decision memory</w:t>
            </w:r>
          </w:p>
        </w:tc>
        <w:tc>
          <w:tcPr>
            <w:tcW w:type="dxa" w:w="6552"/>
            <w:vAlign w:val="center"/>
            <w:tcBorders>
              <w:top w:val="single" w:sz="4" w:color="D9D9D9"/>
              <w:left w:val="single" w:sz="4" w:color="D9D9D9"/>
              <w:bottom w:val="single" w:sz="4" w:color="D9D9D9"/>
              <w:right w:val="single" w:sz="4" w:color="D9D9D9"/>
            </w:tcBorders>
            <w:tcMar>
              <w:top w:w="95" w:type="dxa"/>
              <w:left w:w="95" w:type="dxa"/>
              <w:bottom w:w="95" w:type="dxa"/>
              <w:right w:w="95" w:type="dxa"/>
            </w:tcMar>
          </w:tcPr>
          <w:p>
            <w:pPr>
              <w:spacing w:after="60" w:line="252" w:lineRule="auto"/>
            </w:pPr>
            <w:r>
              <w:rPr>
                <w:b w:val="0"/>
                <w:sz w:val="20"/>
              </w:rPr>
              <w:t xml:space="preserve">Preserves reasoning, mandate, significant disagreement and later changes.</w:t>
            </w:r>
          </w:p>
        </w:tc>
      </w:tr>
      <w:tr>
        <w:tc>
          <w:tcPr>
            <w:tcW w:type="dxa" w:w="3240"/>
            <w:vAlign w:val="center"/>
            <w:tcBorders>
              <w:top w:val="single" w:sz="4" w:color="D9D9D9"/>
              <w:left w:val="single" w:sz="4" w:color="D9D9D9"/>
              <w:bottom w:val="single" w:sz="4" w:color="D9D9D9"/>
              <w:right w:val="single" w:sz="4" w:color="D9D9D9"/>
            </w:tcBorders>
            <w:tcMar>
              <w:top w:w="95" w:type="dxa"/>
              <w:left w:w="95" w:type="dxa"/>
              <w:bottom w:w="95" w:type="dxa"/>
              <w:right w:w="95" w:type="dxa"/>
            </w:tcMar>
          </w:tcPr>
          <w:p>
            <w:pPr>
              <w:spacing w:after="60" w:line="252" w:lineRule="auto"/>
            </w:pPr>
            <w:r>
              <w:rPr>
                <w:b w:val="0"/>
                <w:sz w:val="20"/>
              </w:rPr>
              <w:t xml:space="preserve">Financial records</w:t>
            </w:r>
          </w:p>
        </w:tc>
        <w:tc>
          <w:tcPr>
            <w:tcW w:type="dxa" w:w="6552"/>
            <w:vAlign w:val="center"/>
            <w:tcBorders>
              <w:top w:val="single" w:sz="4" w:color="D9D9D9"/>
              <w:left w:val="single" w:sz="4" w:color="D9D9D9"/>
              <w:bottom w:val="single" w:sz="4" w:color="D9D9D9"/>
              <w:right w:val="single" w:sz="4" w:color="D9D9D9"/>
            </w:tcBorders>
            <w:tcMar>
              <w:top w:w="95" w:type="dxa"/>
              <w:left w:w="95" w:type="dxa"/>
              <w:bottom w:w="95" w:type="dxa"/>
              <w:right w:w="95" w:type="dxa"/>
            </w:tcMar>
          </w:tcPr>
          <w:p>
            <w:pPr>
              <w:spacing w:after="60" w:line="252" w:lineRule="auto"/>
            </w:pPr>
            <w:r>
              <w:rPr>
                <w:b w:val="0"/>
                <w:sz w:val="20"/>
              </w:rPr>
              <w:t xml:space="preserve">Connects a money flow, purpose, documentation and later observation. Formal accounts are kept separately.</w:t>
            </w:r>
          </w:p>
        </w:tc>
      </w:tr>
      <w:tr>
        <w:tc>
          <w:tcPr>
            <w:tcW w:type="dxa" w:w="3240"/>
            <w:vAlign w:val="center"/>
            <w:tcBorders>
              <w:top w:val="single" w:sz="4" w:color="D9D9D9"/>
              <w:left w:val="single" w:sz="4" w:color="D9D9D9"/>
              <w:bottom w:val="single" w:sz="4" w:color="D9D9D9"/>
              <w:right w:val="single" w:sz="4" w:color="D9D9D9"/>
            </w:tcBorders>
            <w:tcMar>
              <w:top w:w="95" w:type="dxa"/>
              <w:left w:w="95" w:type="dxa"/>
              <w:bottom w:w="95" w:type="dxa"/>
              <w:right w:w="95" w:type="dxa"/>
            </w:tcMar>
          </w:tcPr>
          <w:p>
            <w:pPr>
              <w:spacing w:after="60" w:line="252" w:lineRule="auto"/>
            </w:pPr>
            <w:r>
              <w:rPr>
                <w:b w:val="0"/>
                <w:sz w:val="20"/>
              </w:rPr>
              <w:t xml:space="preserve">Shared review</w:t>
            </w:r>
          </w:p>
        </w:tc>
        <w:tc>
          <w:tcPr>
            <w:tcW w:type="dxa" w:w="6552"/>
            <w:vAlign w:val="center"/>
            <w:tcBorders>
              <w:top w:val="single" w:sz="4" w:color="D9D9D9"/>
              <w:left w:val="single" w:sz="4" w:color="D9D9D9"/>
              <w:bottom w:val="single" w:sz="4" w:color="D9D9D9"/>
              <w:right w:val="single" w:sz="4" w:color="D9D9D9"/>
            </w:tcBorders>
            <w:tcMar>
              <w:top w:w="95" w:type="dxa"/>
              <w:left w:w="95" w:type="dxa"/>
              <w:bottom w:w="95" w:type="dxa"/>
              <w:right w:w="95" w:type="dxa"/>
            </w:tcMar>
          </w:tcPr>
          <w:p>
            <w:pPr>
              <w:spacing w:after="60" w:line="252" w:lineRule="auto"/>
            </w:pPr>
            <w:r>
              <w:rPr>
                <w:b w:val="0"/>
                <w:sz w:val="20"/>
              </w:rPr>
              <w:t xml:space="preserve">Keeps assessments of Land / Life, Steward Viability and Governance / Commons separate. No overall score.</w:t>
            </w:r>
          </w:p>
        </w:tc>
      </w:tr>
    </w:tbl>
    <w:p/>
    <w:p>
      <w:pPr>
        <w:pStyle w:val="Heading2"/>
      </w:pPr>
      <w:r>
        <w:t xml:space="preserve">Workable agreements</w:t>
      </w:r>
    </w:p>
    <w:p>
      <w:r>
        <w:t xml:space="preserve">The group agrees who is responsible for tasks, who provides cover, who has authority to decide, how disagreement is handled and when to review the work together. Funding and local inquiry are connected through clear purposes and responsibilities. People do not approve their own payments or handle complaints about themselves. An independent contact route is known and accessible.</w:t>
      </w:r>
    </w:p>
    <w:p>
      <w:r>
        <w:t xml:space="preserve">People who wish to can develop peer teaching or new learning communities and set their own aims. Shared organisation should allow both continuity and rotation and make care, translation and coordination visible. Voluntary contributions are not used to conceal necessary functions that have no funding.</w:t>
      </w:r>
    </w:p>
    <w:p>
      <w:pPr>
        <w:pStyle w:val="Heading2"/>
      </w:pPr>
      <w:r>
        <w:t xml:space="preserve">Investigate whether the method works</w:t>
      </w:r>
    </w:p>
    <w:p>
      <w:r>
        <w:t xml:space="preserve">Use actual inquiries to assess whether each person can recognise and correct their contribution, challenge AI, influence a shared question and use experience on returning. Keep both helpful and misleading AI contributions alongside the human correction. This provides a basis for research into learning and AI use without confusing fluent text with learning. Also test whether the material is easy to begin with, whether the symbols are understood and whether a correction actually changes subsequent work.</w:t>
      </w:r>
    </w:p>
    <w:p>
      <w:r>
        <w:t xml:space="preserve">Follow changes in the field, workload and actual scope for decision-making too. Ecological improvement does not offset exhaustion or disregard for rights. Unknown conditions and a choice not to record are not signs of failure. Experience can correct the toolbox, research and protocol. Assess AI benefits after accounting for time spent checking, translating and any work shifted to others.</w:t>
      </w:r>
    </w:p>
    <w:p>
      <w:pPr>
        <w:pStyle w:val="Heading1"/>
        <w:pageBreakBefore/>
      </w:pPr>
      <w:bookmarkStart w:id="13" w:name="guide13"/>
      <w:r>
        <w:t xml:space="preserve">Worksheet for my own contribution</w:t>
      </w:r>
      <w:bookmarkEnd w:id="13"/>
    </w:p>
    <w:p>
      <w:r>
        <w:t xml:space="preserve">Use drawing, symbols, words, photos, audio or video. This sheet is an option; refer to an original you have chosen. Experience does not have to be recorded to matter in conversation.</w:t>
      </w:r>
    </w:p>
    <w:p>
      <w:r>
        <w:t xml:space="preserve">Date or time __________________  Place __________________</w:t>
      </w:r>
      <w:r>
        <w:br/>
      </w:r>
      <w:r>
        <w:t xml:space="preserve">My mark or reference __________________</w:t>
      </w:r>
    </w:p>
    <w:p>
      <w:pPr>
        <w:pStyle w:val="Heading2"/>
      </w:pPr>
      <w:r>
        <w:t xml:space="preserve">What I notice or want to show</w:t>
      </w:r>
    </w:p>
    <w:p>
      <w:pPr>
        <w:spacing w:after="240"/>
      </w:pPr>
      <w:r>
        <w:rPr>
          <w:color w:val="B0B9BA"/>
        </w:rPr>
        <w:t xml:space="preserve"> </w:t>
      </w:r>
    </w:p>
    <w:p>
      <w:pPr>
        <w:spacing w:after="240"/>
      </w:pPr>
      <w:r>
        <w:rPr>
          <w:color w:val="B0B9BA"/>
        </w:rPr>
        <w:t xml:space="preserve"> </w:t>
      </w:r>
    </w:p>
    <w:p>
      <w:pPr>
        <w:spacing w:after="240"/>
      </w:pPr>
      <w:r>
        <w:rPr>
          <w:color w:val="B0B9BA"/>
        </w:rPr>
        <w:t xml:space="preserve"> </w:t>
      </w:r>
    </w:p>
    <w:p>
      <w:pPr>
        <w:spacing w:after="240"/>
      </w:pPr>
      <w:r>
        <w:rPr>
          <w:color w:val="B0B9BA"/>
        </w:rPr>
        <w:t xml:space="preserve"> </w:t>
      </w:r>
    </w:p>
    <w:p>
      <w:pPr>
        <w:spacing w:after="240"/>
      </w:pPr>
      <w:r>
        <w:rPr>
          <w:color w:val="B0B9BA"/>
        </w:rPr>
        <w:t xml:space="preserve"> </w:t>
      </w:r>
    </w:p>
    <w:p>
      <w:pPr>
        <w:spacing w:after="240"/>
      </w:pPr>
      <w:r>
        <w:rPr>
          <w:color w:val="B0B9BA"/>
        </w:rPr>
        <w:t xml:space="preserve"> </w:t>
      </w:r>
    </w:p>
    <w:p>
      <w:pPr>
        <w:pStyle w:val="Heading2"/>
      </w:pPr>
      <w:r>
        <w:t xml:space="preserve">What I wonder about</w:t>
      </w:r>
    </w:p>
    <w:p>
      <w:pPr>
        <w:spacing w:after="240"/>
      </w:pPr>
      <w:r>
        <w:rPr>
          <w:color w:val="B0B9BA"/>
        </w:rPr>
        <w:t xml:space="preserve">________________________________________________________________________</w:t>
      </w:r>
    </w:p>
    <w:p>
      <w:pPr>
        <w:spacing w:after="240"/>
      </w:pPr>
      <w:r>
        <w:rPr>
          <w:color w:val="B0B9BA"/>
        </w:rPr>
        <w:t xml:space="preserve">________________________________________________________________________</w:t>
      </w:r>
    </w:p>
    <w:p>
      <w:pPr>
        <w:pStyle w:val="Heading2"/>
      </w:pPr>
      <w:r>
        <w:t xml:space="preserve">What this reminds me of, or what I know from experience</w:t>
      </w:r>
    </w:p>
    <w:p>
      <w:pPr>
        <w:spacing w:after="240"/>
      </w:pPr>
      <w:r>
        <w:rPr>
          <w:color w:val="B0B9BA"/>
        </w:rPr>
        <w:t xml:space="preserve">________________________________________________________________________</w:t>
      </w:r>
    </w:p>
    <w:p>
      <w:pPr>
        <w:spacing w:after="240"/>
      </w:pPr>
      <w:r>
        <w:rPr>
          <w:color w:val="B0B9BA"/>
        </w:rPr>
        <w:t xml:space="preserve">________________________________________________________________________</w:t>
      </w:r>
    </w:p>
    <w:p>
      <w:r>
        <w:t xml:space="preserve">If I use a recording or photo, its reference is __________________</w:t>
      </w:r>
      <w:r>
        <w:br/>
      </w:r>
      <w:r>
        <w:t xml:space="preserve">If someone helped me record my contribution __________________</w:t>
      </w:r>
    </w:p>
    <w:p>
      <w:r>
        <w:t xml:space="preserve">This is my own material. I choose what to keep and share. Blank fields need no explanation. Sharing is agreed for a particular contribution and purpose.</w:t>
      </w:r>
    </w:p>
    <w:p>
      <w:pPr>
        <w:pStyle w:val="Heading1"/>
        <w:pageBreakBefore/>
      </w:pPr>
      <w:bookmarkStart w:id="14" w:name="guide14"/>
      <w:r>
        <w:t xml:space="preserve">Worksheet for a trial and a return</w:t>
      </w:r>
      <w:bookmarkEnd w:id="14"/>
    </w:p>
    <w:p>
      <w:r>
        <w:t xml:space="preserve">An optional aid to conversation and return. Refer to the appropriate operational formats rather than repeating information. Keep unknown, not relevant and omitted distinct when stated; blank fields need no explanation.</w:t>
      </w:r>
    </w:p>
    <w:p>
      <w:r>
        <w:t xml:space="preserve">Place __________________  Date __________________  Reference __________________</w:t>
      </w:r>
    </w:p>
    <w:p>
      <w:pPr>
        <w:pStyle w:val="Heading2"/>
      </w:pPr>
      <w:r>
        <w:t xml:space="preserve">Our question and provisional expectation</w:t>
      </w:r>
    </w:p>
    <w:p>
      <w:pPr>
        <w:spacing w:after="240"/>
      </w:pPr>
      <w:r>
        <w:rPr>
          <w:color w:val="B0B9BA"/>
        </w:rPr>
        <w:t xml:space="preserve">________________________________________________________________________</w:t>
      </w:r>
    </w:p>
    <w:p>
      <w:pPr>
        <w:spacing w:after="240"/>
      </w:pPr>
      <w:r>
        <w:rPr>
          <w:color w:val="B0B9BA"/>
        </w:rPr>
        <w:t xml:space="preserve">________________________________________________________________________</w:t>
      </w:r>
    </w:p>
    <w:p>
      <w:pPr>
        <w:pStyle w:val="Heading2"/>
      </w:pPr>
      <w:r>
        <w:t xml:space="preserve">What we will try, and what could change our understanding</w:t>
      </w:r>
    </w:p>
    <w:p>
      <w:pPr>
        <w:spacing w:after="240"/>
      </w:pPr>
      <w:r>
        <w:rPr>
          <w:color w:val="B0B9BA"/>
        </w:rPr>
        <w:t xml:space="preserve">________________________________________________________________________</w:t>
      </w:r>
    </w:p>
    <w:p>
      <w:pPr>
        <w:spacing w:after="240"/>
      </w:pPr>
      <w:r>
        <w:rPr>
          <w:color w:val="B0B9BA"/>
        </w:rPr>
        <w:t xml:space="preserve">________________________________________________________________________</w:t>
      </w:r>
    </w:p>
    <w:p>
      <w:pPr>
        <w:pStyle w:val="Heading2"/>
      </w:pPr>
      <w:r>
        <w:t xml:space="preserve">Who does what, with which resources and permissions</w:t>
      </w:r>
    </w:p>
    <w:p>
      <w:pPr>
        <w:spacing w:after="240"/>
      </w:pPr>
      <w:r>
        <w:rPr>
          <w:color w:val="B0B9BA"/>
        </w:rPr>
        <w:t xml:space="preserve">________________________________________________________________________</w:t>
      </w:r>
    </w:p>
    <w:p>
      <w:pPr>
        <w:spacing w:after="240"/>
      </w:pPr>
      <w:r>
        <w:rPr>
          <w:color w:val="B0B9BA"/>
        </w:rPr>
        <w:t xml:space="preserve">________________________________________________________________________</w:t>
      </w:r>
    </w:p>
    <w:p>
      <w:pPr>
        <w:pStyle w:val="Heading2"/>
      </w:pPr>
      <w:r>
        <w:t xml:space="preserve">When we will return, and what would make us stop</w:t>
      </w:r>
    </w:p>
    <w:p>
      <w:pPr>
        <w:spacing w:after="240"/>
      </w:pPr>
      <w:r>
        <w:rPr>
          <w:color w:val="B0B9BA"/>
        </w:rPr>
        <w:t xml:space="preserve">________________________________________________________________________</w:t>
      </w:r>
    </w:p>
    <w:p>
      <w:pPr>
        <w:pStyle w:val="Heading2"/>
      </w:pPr>
      <w:r>
        <w:t xml:space="preserve">Return with date: what actually happened</w:t>
      </w:r>
    </w:p>
    <w:p>
      <w:pPr>
        <w:spacing w:after="240"/>
      </w:pPr>
      <w:r>
        <w:rPr>
          <w:color w:val="B0B9BA"/>
        </w:rPr>
        <w:t xml:space="preserve">________________________________________________________________________</w:t>
      </w:r>
    </w:p>
    <w:p>
      <w:pPr>
        <w:spacing w:after="240"/>
      </w:pPr>
      <w:r>
        <w:rPr>
          <w:color w:val="B0B9BA"/>
        </w:rPr>
        <w:t xml:space="preserve">________________________________________________________________________</w:t>
      </w:r>
    </w:p>
    <w:p>
      <w:pPr>
        <w:pStyle w:val="Heading2"/>
      </w:pPr>
      <w:r>
        <w:t xml:space="preserve">What we change or still understand differently</w:t>
      </w:r>
    </w:p>
    <w:p>
      <w:pPr>
        <w:spacing w:after="240"/>
      </w:pPr>
      <w:r>
        <w:rPr>
          <w:color w:val="B0B9BA"/>
        </w:rPr>
        <w:t xml:space="preserve">________________________________________________________________________</w:t>
      </w:r>
    </w:p>
    <w:p>
      <w:pPr>
        <w:spacing w:after="240"/>
      </w:pPr>
      <w:r>
        <w:rPr>
          <w:color w:val="B0B9BA"/>
        </w:rPr>
        <w:t xml:space="preserve">________________________________________________________________________</w:t>
      </w:r>
    </w:p>
    <w:p>
      <w:r>
        <w:t xml:space="preserve">Refer to an observation, decision or expense where useful. An expected effect is not an observed result.</w:t>
      </w:r>
    </w:p>
    <w:p>
      <w:pPr>
        <w:pStyle w:val="Heading1"/>
        <w:pageBreakBefore/>
      </w:pPr>
      <w:bookmarkStart w:id="15" w:name="guide15"/>
      <w:r>
        <w:t xml:space="preserve">Worksheet for AI dialogue and chosen sharing</w:t>
      </w:r>
      <w:bookmarkEnd w:id="15"/>
    </w:p>
    <w:p>
      <w:r>
        <w:t xml:space="preserve">Individually or together, people act as critical friends to AI. Keep the original, the reworked account and the correction separate. AI must not fill blank fields, infer meaning from silence or reconstruct omitted content.</w:t>
      </w:r>
    </w:p>
    <w:p>
      <w:r>
        <w:t xml:space="preserve">Date __________________  Reference for my material __________________</w:t>
      </w:r>
      <w:r>
        <w:br/>
      </w:r>
      <w:r>
        <w:t xml:space="preserve">AI service or other assistance, if relevant __________________</w:t>
      </w:r>
    </w:p>
    <w:p>
      <w:pPr>
        <w:pStyle w:val="Heading2"/>
      </w:pPr>
      <w:r>
        <w:t xml:space="preserve">The specific help I asked for</w:t>
      </w:r>
    </w:p>
    <w:p>
      <w:pPr>
        <w:spacing w:after="240"/>
      </w:pPr>
      <w:r>
        <w:rPr>
          <w:color w:val="B0B9BA"/>
        </w:rPr>
        <w:t xml:space="preserve">________________________________________________________________________</w:t>
      </w:r>
    </w:p>
    <w:p>
      <w:pPr>
        <w:pStyle w:val="Heading2"/>
      </w:pPr>
      <w:r>
        <w:t xml:space="preserve">What AI restated or proposed</w:t>
      </w:r>
    </w:p>
    <w:p>
      <w:pPr>
        <w:spacing w:after="240"/>
      </w:pPr>
      <w:r>
        <w:rPr>
          <w:color w:val="B0B9BA"/>
        </w:rPr>
        <w:t xml:space="preserve">________________________________________________________________________</w:t>
      </w:r>
    </w:p>
    <w:p>
      <w:pPr>
        <w:spacing w:after="240"/>
      </w:pPr>
      <w:r>
        <w:rPr>
          <w:color w:val="B0B9BA"/>
        </w:rPr>
        <w:t xml:space="preserve">________________________________________________________________________</w:t>
      </w:r>
    </w:p>
    <w:p>
      <w:pPr>
        <w:pStyle w:val="Heading2"/>
      </w:pPr>
      <w:r>
        <w:t xml:space="preserve">What I recognise, correct, reject or do not yet know</w:t>
      </w:r>
    </w:p>
    <w:p>
      <w:pPr>
        <w:spacing w:after="240"/>
      </w:pPr>
      <w:r>
        <w:rPr>
          <w:color w:val="B0B9BA"/>
        </w:rPr>
        <w:t xml:space="preserve">________________________________________________________________________</w:t>
      </w:r>
    </w:p>
    <w:p>
      <w:pPr>
        <w:spacing w:after="240"/>
      </w:pPr>
      <w:r>
        <w:rPr>
          <w:color w:val="B0B9BA"/>
        </w:rPr>
        <w:t xml:space="preserve">________________________________________________________________________</w:t>
      </w:r>
    </w:p>
    <w:p>
      <w:pPr>
        <w:spacing w:after="240"/>
      </w:pPr>
      <w:r>
        <w:rPr>
          <w:color w:val="B0B9BA"/>
        </w:rPr>
        <w:t xml:space="preserve">________________________________________________________________________</w:t>
      </w:r>
    </w:p>
    <w:p>
      <w:pPr>
        <w:pStyle w:val="Heading2"/>
      </w:pPr>
      <w:r>
        <w:t xml:space="preserve">What I or we will now investigate or do</w:t>
      </w:r>
    </w:p>
    <w:p>
      <w:pPr>
        <w:spacing w:after="240"/>
      </w:pPr>
      <w:r>
        <w:rPr>
          <w:color w:val="B0B9BA"/>
        </w:rPr>
        <w:t xml:space="preserve">________________________________________________________________________</w:t>
      </w:r>
    </w:p>
    <w:p>
      <w:pPr>
        <w:spacing w:after="240"/>
      </w:pPr>
      <w:r>
        <w:rPr>
          <w:color w:val="B0B9BA"/>
        </w:rPr>
        <w:t xml:space="preserve">________________________________________________________________________</w:t>
      </w:r>
    </w:p>
    <w:p>
      <w:pPr>
        <w:pStyle w:val="Heading2"/>
      </w:pPr>
      <w:r>
        <w:t xml:space="preserve">If I choose to share something</w:t>
      </w:r>
    </w:p>
    <w:p>
      <w:r>
        <w:t xml:space="preserve">Selected contribution __________________</w:t>
      </w:r>
      <w:r>
        <w:br/>
      </w:r>
      <w:r>
        <w:t xml:space="preserve">With whom __________________  For what purpose __________________</w:t>
      </w:r>
      <w:r>
        <w:br/>
      </w:r>
      <w:r>
        <w:t xml:space="preserve">May it be sent to an AI service __________________</w:t>
      </w:r>
      <w:r>
        <w:br/>
      </w:r>
      <w:r>
        <w:t xml:space="preserve">May anything be published, and in what form __________________</w:t>
      </w:r>
      <w:r>
        <w:br/>
      </w:r>
      <w:r>
        <w:t xml:space="preserve">How my correction or changed sharing decision will be handled __________________</w:t>
      </w:r>
    </w:p>
    <w:p>
      <w:r>
        <w:t xml:space="preserve">A sharing agreement covers only what was agreed. Explain any limits on deletion or withdrawal before sending material onwards. My agreement does not automatically include another person’s rights.</w:t>
      </w:r>
    </w:p>
    <w:p>
      <w:pPr>
        <w:pStyle w:val="Heading1"/>
        <w:pageBreakBefore/>
      </w:pPr>
      <w:r>
        <w:t>PG Ledger · current operational formats</w:t>
      </w:r>
      <w:bookmarkStart w:id="16" w:name="guide16"/>
      <w:bookmarkEnd w:id="16"/>
    </w:p>
    <w:p>
      <w:r>
        <w:t>This Word edition contains the diary’s own worksheets. The five operational PG Ledger formats are available separately through the links below and are not included here as editable sheets.</w:t>
      </w:r>
    </w:p>
    <w:p>
      <w:r>
        <w:t>For records and returns, use the agreed, versioned edition of the relevant operational format. Keep its fields, categories and meanings intact; proposals for changes are considered separately. PG Ledger supports documentation and financial follow-up and does not replace the formal accounting system.</w:t>
      </w:r>
    </w:p>
    <w:p>
      <w:pPr>
        <w:pStyle w:val="Heading3"/>
      </w:pPr>
      <w:r>
        <w:t>Format 1 · Shared review</w:t>
      </w:r>
    </w:p>
    <w:p>
      <w:r>
        <w:t/>
      </w:r>
      <w:hyperlink r:id="rIdWordFormats1">
        <w:r>
          <w:rPr>
            <w:rStyle w:val="Hyperlink"/>
          </w:rPr>
          <w:t>https://papers.spiralweb.earth/formats/format1-dashboard</w:t>
        </w:r>
      </w:hyperlink>
    </w:p>
    <w:p>
      <w:pPr>
        <w:pStyle w:val="Heading3"/>
      </w:pPr>
      <w:r>
        <w:t>Format 2 · Observation</w:t>
      </w:r>
    </w:p>
    <w:p>
      <w:r>
        <w:t/>
      </w:r>
      <w:hyperlink r:id="rIdWordFormats2">
        <w:r>
          <w:rPr>
            <w:rStyle w:val="Hyperlink"/>
          </w:rPr>
          <w:t>https://papers.spiralweb.earth/formats/format2-observation</w:t>
        </w:r>
      </w:hyperlink>
    </w:p>
    <w:p>
      <w:pPr>
        <w:pStyle w:val="Heading3"/>
      </w:pPr>
      <w:r>
        <w:t>Format 3 · Bounded action</w:t>
      </w:r>
    </w:p>
    <w:p>
      <w:r>
        <w:t/>
      </w:r>
      <w:hyperlink r:id="rIdWordFormats3">
        <w:r>
          <w:rPr>
            <w:rStyle w:val="Hyperlink"/>
          </w:rPr>
          <w:t>https://papers.spiralweb.earth/formats/format3-action</w:t>
        </w:r>
      </w:hyperlink>
    </w:p>
    <w:p>
      <w:pPr>
        <w:pStyle w:val="Heading3"/>
      </w:pPr>
      <w:r>
        <w:t>Format 4 · Decision memory</w:t>
      </w:r>
    </w:p>
    <w:p>
      <w:r>
        <w:t/>
      </w:r>
      <w:hyperlink r:id="rIdWordFormats4">
        <w:r>
          <w:rPr>
            <w:rStyle w:val="Hyperlink"/>
          </w:rPr>
          <w:t>https://papers.spiralweb.earth/formats/format4-decision</w:t>
        </w:r>
      </w:hyperlink>
    </w:p>
    <w:p>
      <w:pPr>
        <w:pStyle w:val="Heading3"/>
      </w:pPr>
      <w:r>
        <w:t>Format 5 · Financial records</w:t>
      </w:r>
    </w:p>
    <w:p>
      <w:r>
        <w:t/>
      </w:r>
      <w:hyperlink r:id="rIdWordFormats5">
        <w:r>
          <w:rPr>
            <w:rStyle w:val="Hyperlink"/>
          </w:rPr>
          <w:t>https://papers.spiralweb.earth/formats/format5-financial-ledger</w:t>
        </w:r>
      </w:hyperlink>
    </w:p>
    <w:p>
      <w:pPr>
        <w:pStyle w:val="Heading1"/>
        <w:pageBreakBefore/>
      </w:pPr>
      <w:bookmarkStart w:id="26" w:name="guide26"/>
      <w:r>
        <w:t xml:space="preserve">Further reading and terms of use</w:t>
      </w:r>
      <w:bookmarkEnd w:id="26"/>
    </w:p>
    <w:p>
      <w:r>
        <w:t xml:space="preserve">Papers is a public, versioned knowledge habitat. This Practice Guide brings selected ways of working into a practical whole. It establishes no new local authority and does not replace specific agreements. This first edition is open to informed criticism and local testing. Experience can change both the guide and its sources.</w:t>
      </w:r>
    </w:p>
    <w:p>
      <w:pPr>
        <w:spacing w:after="80"/>
      </w:pPr>
      <w:r>
        <w:rPr>
          <w:sz w:val="18"/>
        </w:rPr>
        <w:t xml:space="preserve">Healthy Roots</w:t>
      </w:r>
      <w:r>
        <w:br/>
      </w:r>
      <w:hyperlink r:id="rId15">
        <w:r>
          <w:rPr>
            <w:sz w:val="18"/>
            <w:color w:val="286A68"/>
            <w:u w:val="single"/>
          </w:rPr>
          <w:t xml:space="preserve">https://papers.spiralweb.earth/protocols/healthy-roots</w:t>
        </w:r>
      </w:hyperlink>
    </w:p>
    <w:p>
      <w:pPr>
        <w:spacing w:after="80"/>
      </w:pPr>
      <w:r>
        <w:rPr>
          <w:sz w:val="18"/>
        </w:rPr>
        <w:t xml:space="preserve">PG Ledger</w:t>
      </w:r>
      <w:r>
        <w:br/>
      </w:r>
      <w:hyperlink r:id="rId16">
        <w:r>
          <w:rPr>
            <w:sz w:val="18"/>
            <w:color w:val="286A68"/>
            <w:u w:val="single"/>
          </w:rPr>
          <w:t xml:space="preserve">https://spiralweb.earth/pg-ledger/</w:t>
        </w:r>
      </w:hyperlink>
    </w:p>
    <w:p>
      <w:pPr>
        <w:spacing w:after="80"/>
      </w:pPr>
      <w:r>
        <w:rPr>
          <w:sz w:val="18"/>
        </w:rPr>
        <w:t xml:space="preserve">The five operational formats</w:t>
      </w:r>
      <w:r>
        <w:br/>
      </w:r>
      <w:hyperlink r:id="rId25">
        <w:r>
          <w:rPr>
            <w:sz w:val="18"/>
            <w:color w:val="286A68"/>
            <w:u w:val="single"/>
          </w:rPr>
          <w:t xml:space="preserve">https://spiralweb.earth/formats/</w:t>
        </w:r>
      </w:hyperlink>
    </w:p>
    <w:p>
      <w:pPr>
        <w:spacing w:after="80"/>
      </w:pPr>
      <w:hyperlink r:id="rId26">
        <w:r>
          <w:rPr>
            <w:sz w:val="18"/>
            <w:color w:val="286A68"/>
            <w:u w:val="single"/>
          </w:rPr>
          <w:t xml:space="preserve">Sophia Lumen</w:t>
        </w:r>
      </w:hyperlink>
      <w:r>
        <w:br/>
      </w:r>
      <w:hyperlink r:id="rId26">
        <w:r>
          <w:rPr>
            <w:sz w:val="18"/>
            <w:color w:val="286A68"/>
            <w:u w:val="single"/>
          </w:rPr>
          <w:t xml:space="preserve">https://papers.spiralweb.earth/protocols/sophia-lumen</w:t>
        </w:r>
      </w:hyperlink>
    </w:p>
    <w:p>
      <w:pPr>
        <w:spacing w:after="80"/>
      </w:pPr>
      <w:r>
        <w:rPr>
          <w:sz w:val="18"/>
        </w:rPr>
        <w:t xml:space="preserve">Moral Biology</w:t>
      </w:r>
      <w:r>
        <w:br/>
      </w:r>
      <w:hyperlink r:id="rId34">
        <w:r>
          <w:rPr>
            <w:sz w:val="18"/>
            <w:color w:val="286A68"/>
            <w:u w:val="single"/>
          </w:rPr>
          <w:t xml:space="preserve">https://papers.spiralweb.earth/papers/moral-biology</w:t>
        </w:r>
      </w:hyperlink>
    </w:p>
    <w:p>
      <w:pPr>
        <w:spacing w:after="80"/>
      </w:pPr>
      <w:r>
        <w:rPr>
          <w:sz w:val="18"/>
        </w:rPr>
        <w:t xml:space="preserve">Knowing From the Ground</w:t>
      </w:r>
      <w:r>
        <w:br/>
      </w:r>
      <w:hyperlink r:id="rId27">
        <w:r>
          <w:rPr>
            <w:sz w:val="18"/>
            <w:color w:val="286A68"/>
            <w:u w:val="single"/>
          </w:rPr>
          <w:t xml:space="preserve">https://papers.spiralweb.earth/papers/knowing-from-the-ground</w:t>
        </w:r>
      </w:hyperlink>
    </w:p>
    <w:p>
      <w:pPr>
        <w:spacing w:after="80"/>
      </w:pPr>
      <w:r>
        <w:rPr>
          <w:sz w:val="18"/>
        </w:rPr>
        <w:t xml:space="preserve">GP22 Capacity and Contact</w:t>
      </w:r>
      <w:r>
        <w:br/>
      </w:r>
      <w:hyperlink r:id="rId18">
        <w:r>
          <w:rPr>
            <w:sz w:val="18"/>
            <w:color w:val="286A68"/>
            <w:u w:val="single"/>
          </w:rPr>
          <w:t xml:space="preserve">https://papers.spiralweb.earth/papers/capacity-contact-stewardship-economy</w:t>
        </w:r>
      </w:hyperlink>
    </w:p>
    <w:p>
      <w:pPr>
        <w:spacing w:after="80"/>
      </w:pPr>
      <w:r>
        <w:rPr>
          <w:sz w:val="18"/>
        </w:rPr>
        <w:t xml:space="preserve">GP23 A Decent Economy</w:t>
      </w:r>
      <w:r>
        <w:br/>
      </w:r>
      <w:hyperlink r:id="rId38">
        <w:r>
          <w:rPr>
            <w:sz w:val="18"/>
            <w:color w:val="286A68"/>
            <w:u w:val="single"/>
          </w:rPr>
          <w:t xml:space="preserve">https://papers.spiralweb.earth/papers/a-decent-economy-under-the-jurisdiction-of-life</w:t>
        </w:r>
      </w:hyperlink>
    </w:p>
    <w:p>
      <w:pPr>
        <w:spacing w:after="80"/>
      </w:pPr>
      <w:r>
        <w:rPr>
          <w:sz w:val="18"/>
        </w:rPr>
        <w:t xml:space="preserve">Living Landscapes</w:t>
      </w:r>
      <w:r>
        <w:br/>
      </w:r>
      <w:hyperlink r:id="rId39">
        <w:r>
          <w:rPr>
            <w:sz w:val="18"/>
            <w:color w:val="286A68"/>
            <w:u w:val="single"/>
          </w:rPr>
          <w:t xml:space="preserve">https://papers.spiralweb.earth/papers/living-landscapes</w:t>
        </w:r>
      </w:hyperlink>
    </w:p>
    <w:p>
      <w:pPr>
        <w:spacing w:after="80"/>
      </w:pPr>
      <w:r>
        <w:rPr>
          <w:sz w:val="18"/>
        </w:rPr>
        <w:t xml:space="preserve">The Steward’s Journey</w:t>
      </w:r>
      <w:r>
        <w:br/>
      </w:r>
      <w:hyperlink r:id="rId19">
        <w:r>
          <w:rPr>
            <w:sz w:val="18"/>
            <w:color w:val="286A68"/>
            <w:u w:val="single"/>
          </w:rPr>
          <w:t xml:space="preserve">https://papers.spiralweb.earth/papers/srip-the-stewards-journey</w:t>
        </w:r>
      </w:hyperlink>
    </w:p>
    <w:p>
      <w:pPr>
        <w:spacing w:after="80"/>
      </w:pPr>
      <w:r>
        <w:rPr>
          <w:sz w:val="18"/>
        </w:rPr>
        <w:t xml:space="preserve">Atlas, working wagers and other Field Papers</w:t>
      </w:r>
      <w:r>
        <w:br/>
      </w:r>
      <w:hyperlink r:id="rId30">
        <w:r>
          <w:rPr>
            <w:sz w:val="18"/>
            <w:color w:val="286A68"/>
            <w:u w:val="single"/>
          </w:rPr>
          <w:t xml:space="preserve">https://papers.spiralweb.earth/library</w:t>
        </w:r>
      </w:hyperlink>
    </w:p>
    <w:p>
      <w:pPr>
        <w:spacing w:after="80"/>
      </w:pPr>
      <w:r>
        <w:rPr>
          <w:sz w:val="18"/>
        </w:rPr>
        <w:t xml:space="preserve">FAO Farmer Field Schools</w:t>
      </w:r>
      <w:r>
        <w:br/>
      </w:r>
      <w:hyperlink r:id="rId31">
        <w:r>
          <w:rPr>
            <w:sz w:val="18"/>
            <w:color w:val="286A68"/>
            <w:u w:val="single"/>
          </w:rPr>
          <w:t xml:space="preserve">https://www.fao.org/farmer-field-schools/overview/en/</w:t>
        </w:r>
      </w:hyperlink>
    </w:p>
    <w:p>
      <w:pPr>
        <w:spacing w:after="80"/>
      </w:pPr>
      <w:r>
        <w:rPr>
          <w:sz w:val="18"/>
        </w:rPr>
        <w:t xml:space="preserve">Lawrence Hall of Science nature journaling</w:t>
      </w:r>
      <w:r>
        <w:br/>
      </w:r>
      <w:hyperlink r:id="rId32">
        <w:r>
          <w:rPr>
            <w:sz w:val="18"/>
            <w:color w:val="286A68"/>
            <w:u w:val="single"/>
          </w:rPr>
          <w:t xml:space="preserve">https://lawrencehallofscience.org/activities/exploring-nature-journaling/</w:t>
        </w:r>
      </w:hyperlink>
    </w:p>
    <w:p>
      <w:pPr>
        <w:pStyle w:val="Heading2"/>
      </w:pPr>
      <w:r>
        <w:t xml:space="preserve">Free use with clear attribution</w:t>
      </w:r>
    </w:p>
    <w:p>
      <w:r>
        <w:t xml:space="preserve">The guide’s text, figures and blank sheets may be copied, translated and adapted under CC BY 4.0. Attribution: Spiralweb Stewardship Association, The Field Diary, English edition v1.0.1, 2026. Indicate your changes. </w:t>
      </w:r>
      <w:r>
        <w:br/>
      </w:r>
      <w:hyperlink r:id="rId33">
        <w:r>
          <w:rPr>
            <w:color w:val="286A68"/>
            <w:u w:val="single"/>
          </w:rPr>
          <w:t xml:space="preserve">https://creativecommons.org/licenses/by/4.0/</w:t>
        </w:r>
      </w:hyperlink>
    </w:p>
    <w:p>
      <w:r>
        <w:t xml:space="preserve">Completed diaries, personal information and recordings are not automatically covered by the open licence. Sharing is agreed separately. External works retain their own terms. AI assisted the preparation; responsible human editing and local correction remain essential.</w:t>
      </w:r>
      <w:r>
        <w:br/>
      </w:r>
      <w:r>
        <w:t xml:space="preserve">Published by Spiralweb Stewardship Association · Spiralweb Papers</w:t>
      </w:r>
      <w:r>
        <w:br/>
      </w:r>
      <w:hyperlink r:id="rId35">
        <w:r>
          <w:rPr>
            <w:color w:val="286A68"/>
            <w:u w:val="single"/>
          </w:rPr>
          <w:t xml:space="preserve">spiralweb.earth</w:t>
        </w:r>
      </w:hyperlink>
      <w:r>
        <w:t xml:space="preserve"> · </w:t>
      </w:r>
      <w:hyperlink r:id="rId36">
        <w:r>
          <w:rPr>
            <w:color w:val="286A68"/>
            <w:u w:val="single"/>
          </w:rPr>
          <w:t xml:space="preserve">papers.spiralweb.earth</w:t>
        </w:r>
      </w:hyperlink>
    </w:p>
    <w:p>
      <w:pPr>
        <w:spacing w:before="40" w:after="0"/>
      </w:pPr>
      <w:r>
        <w:rPr>
          <w:sz w:val="16"/>
        </w:rPr>
        <w:t>English translation of Feltets Dagbog, Danish v1.0.1 · 24 October 2026.</w:t>
      </w:r>
    </w:p>
    <w:sectPr w:rsidR="00FC693F" w:rsidRPr="0006063C" w:rsidSect="00034616">
      <w:headerReference w:type="default" r:id="rId9"/>
      <w:footerReference w:type="default" r:id="rId10"/>
      <w:pgSz w:w="12240" w:h="15840"/>
      <w:pgMar w:top="965" w:right="1152" w:bottom="893" w:left="1152"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sz w:val="16"/>
      </w:rPr>
      <w:t xml:space="preserve">The Field Diary     |     v1.0.1 · 24 October 2026     |     </w:t>
    </w:r>
    <w:fldSimple w:instr="PAGE"/>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sz w:val="16"/>
      </w:rPr>
      <w:t>SPIRALWEB PAPERS  /  PRACTICE GUIDE</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40" w:line="269" w:lineRule="auto"/>
    </w:pPr>
    <w:rPr>
      <w:rFonts w:ascii="Calibri" w:hAnsi="Calibri"/>
      <w:sz w:val="22"/>
      <w:lang w:val="en-GB"/>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180"/>
      <w:outlineLvl w:val="0"/>
    </w:pPr>
    <w:rPr>
      <w:rFonts w:asciiTheme="majorHAnsi" w:eastAsiaTheme="majorEastAsia" w:hAnsiTheme="majorHAnsi" w:cstheme="majorBidi" w:ascii="Calibri" w:hAnsi="Calibri"/>
      <w:b/>
      <w:bCs/>
      <w:color w:val="000000"/>
      <w:sz w:val="38"/>
      <w:szCs w:val="28"/>
    </w:rPr>
  </w:style>
  <w:style w:type="paragraph" w:styleId="Heading2">
    <w:name w:val="heading 2"/>
    <w:basedOn w:val="Normal"/>
    <w:next w:val="Normal"/>
    <w:link w:val="Heading2Char"/>
    <w:uiPriority w:val="9"/>
    <w:unhideWhenUsed/>
    <w:qFormat/>
    <w:rsid w:val="00FC693F"/>
    <w:pPr>
      <w:keepNext/>
      <w:keepLines/>
      <w:spacing w:before="200" w:after="180"/>
      <w:outlineLvl w:val="1"/>
    </w:pPr>
    <w:rPr>
      <w:rFonts w:asciiTheme="majorHAnsi" w:eastAsiaTheme="majorEastAsia" w:hAnsiTheme="majorHAnsi" w:cstheme="majorBidi" w:ascii="Calibri" w:hAnsi="Calibri"/>
      <w:b/>
      <w:bCs/>
      <w:color w:val="000000"/>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180" w:line="240" w:lineRule="auto"/>
      <w:contextualSpacing/>
    </w:pPr>
    <w:rPr>
      <w:rFonts w:asciiTheme="majorHAnsi" w:eastAsiaTheme="majorEastAsia" w:hAnsiTheme="majorHAnsi" w:cstheme="majorBidi" w:ascii="Calibri" w:hAnsi="Calibri"/>
      <w:color w:val="000000"/>
      <w:spacing w:val="5"/>
      <w:kern w:val="28"/>
      <w:sz w:val="54"/>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spacing w:after="180"/>
    </w:pPr>
    <w:rPr>
      <w:rFonts w:asciiTheme="majorHAnsi" w:eastAsiaTheme="majorEastAsia" w:hAnsiTheme="majorHAnsi" w:cstheme="majorBidi" w:ascii="Calibri" w:hAnsi="Calibri"/>
      <w:i/>
      <w:iCs/>
      <w:color w:val="000000"/>
      <w:spacing w:val="15"/>
      <w:sz w:val="26"/>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344B50"/>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image" Target="media/image1.png"/><Relationship Id="rId12" Type="http://schemas.openxmlformats.org/officeDocument/2006/relationships/image" Target="media/image2.png"/><Relationship Id="rId13" Type="http://schemas.openxmlformats.org/officeDocument/2006/relationships/image" Target="media/image3.png"/><Relationship Id="rId14" Type="http://schemas.openxmlformats.org/officeDocument/2006/relationships/image" Target="media/image4.png"/><Relationship Id="rId15" Type="http://schemas.openxmlformats.org/officeDocument/2006/relationships/hyperlink" Target="https://papers.spiralweb.earth/protocols/healthy-roots" TargetMode="External"/><Relationship Id="rId16" Type="http://schemas.openxmlformats.org/officeDocument/2006/relationships/hyperlink" Target="https://spiralweb.earth/pg-ledger/" TargetMode="External"/><Relationship Id="rId17" Type="http://schemas.openxmlformats.org/officeDocument/2006/relationships/hyperlink" Target="https://papers.spiralweb.earth/papers/the-spiral-of-hypotheses-full-register" TargetMode="External"/><Relationship Id="rId18" Type="http://schemas.openxmlformats.org/officeDocument/2006/relationships/hyperlink" Target="https://papers.spiralweb.earth/papers/capacity-contact-stewardship-economy" TargetMode="External"/><Relationship Id="rId19" Type="http://schemas.openxmlformats.org/officeDocument/2006/relationships/hyperlink" Target="https://papers.spiralweb.earth/papers/srip-the-stewards-journey" TargetMode="External"/><Relationship Id="rId20" Type="http://schemas.openxmlformats.org/officeDocument/2006/relationships/hyperlink" Target="https://papers.spiralweb.earth/formats/format1-dashboard" TargetMode="External"/><Relationship Id="rId21" Type="http://schemas.openxmlformats.org/officeDocument/2006/relationships/hyperlink" Target="https://papers.spiralweb.earth/formats/format2-observation" TargetMode="External"/><Relationship Id="rId22" Type="http://schemas.openxmlformats.org/officeDocument/2006/relationships/hyperlink" Target="https://papers.spiralweb.earth/formats/format3-action" TargetMode="External"/><Relationship Id="rId23" Type="http://schemas.openxmlformats.org/officeDocument/2006/relationships/hyperlink" Target="https://papers.spiralweb.earth/formats/format4-decision" TargetMode="External"/><Relationship Id="rId24" Type="http://schemas.openxmlformats.org/officeDocument/2006/relationships/hyperlink" Target="https://papers.spiralweb.earth/formats/format5-financial-ledger" TargetMode="External"/><Relationship Id="rId25" Type="http://schemas.openxmlformats.org/officeDocument/2006/relationships/hyperlink" Target="https://spiralweb.earth/formats/" TargetMode="External"/><Relationship Id="rId26" Type="http://schemas.openxmlformats.org/officeDocument/2006/relationships/hyperlink" Target="https://papers.spiralweb.earth/protocols/sophia-lumen" TargetMode="External"/><Relationship Id="rId27" Type="http://schemas.openxmlformats.org/officeDocument/2006/relationships/hyperlink" Target="https://papers.spiralweb.earth/papers/knowing-from-the-ground" TargetMode="External"/><Relationship Id="rId28" Type="http://schemas.openxmlformats.org/officeDocument/2006/relationships/hyperlink" Target="https://papers.spiralweb.earth/papers/en-anstaendig-oekonomi-under-livets-jurisdiktion" TargetMode="External"/><Relationship Id="rId29" Type="http://schemas.openxmlformats.org/officeDocument/2006/relationships/hyperlink" Target="https://papers.spiralweb.earth/papers/levende-landskaber" TargetMode="External"/><Relationship Id="rId30" Type="http://schemas.openxmlformats.org/officeDocument/2006/relationships/hyperlink" Target="https://papers.spiralweb.earth/library" TargetMode="External"/><Relationship Id="rId31" Type="http://schemas.openxmlformats.org/officeDocument/2006/relationships/hyperlink" Target="https://www.fao.org/farmer-field-schools/overview/en/" TargetMode="External"/><Relationship Id="rId32" Type="http://schemas.openxmlformats.org/officeDocument/2006/relationships/hyperlink" Target="https://lawrencehallofscience.org/activities/exploring-nature-journaling/" TargetMode="External"/><Relationship Id="rId33" Type="http://schemas.openxmlformats.org/officeDocument/2006/relationships/hyperlink" Target="https://creativecommons.org/licenses/by/4.0/" TargetMode="External"/><Relationship Id="rId34" Type="http://schemas.openxmlformats.org/officeDocument/2006/relationships/hyperlink" Target="https://papers.spiralweb.earth/papers/moral-biology" TargetMode="External"/><Relationship Id="rId35" Type="http://schemas.openxmlformats.org/officeDocument/2006/relationships/hyperlink" Target="https://spiralweb.earth/" TargetMode="External"/><Relationship Id="rId36" Type="http://schemas.openxmlformats.org/officeDocument/2006/relationships/hyperlink" Target="https://papers.spiralweb.earth/" TargetMode="External"/><Relationship Id="rId37" Type="http://schemas.openxmlformats.org/officeDocument/2006/relationships/image" Target="media/image5.png"/><Relationship Id="rId38" Type="http://schemas.openxmlformats.org/officeDocument/2006/relationships/hyperlink" Target="https://papers.spiralweb.earth/papers/a-decent-economy-under-the-jurisdiction-of-life" TargetMode="External"/><Relationship Id="rId39" Type="http://schemas.openxmlformats.org/officeDocument/2006/relationships/hyperlink" Target="https://papers.spiralweb.earth/papers/living-landscapes" TargetMode="External"/><Relationship Id="rIdWordFormats1" Type="http://schemas.openxmlformats.org/officeDocument/2006/relationships/hyperlink" Target="https://papers.spiralweb.earth/formats/format1-dashboard" TargetMode="External"/><Relationship Id="rIdWordFormats2" Type="http://schemas.openxmlformats.org/officeDocument/2006/relationships/hyperlink" Target="https://papers.spiralweb.earth/formats/format2-observation" TargetMode="External"/><Relationship Id="rIdWordFormats3" Type="http://schemas.openxmlformats.org/officeDocument/2006/relationships/hyperlink" Target="https://papers.spiralweb.earth/formats/format3-action" TargetMode="External"/><Relationship Id="rIdWordFormats4" Type="http://schemas.openxmlformats.org/officeDocument/2006/relationships/hyperlink" Target="https://papers.spiralweb.earth/formats/format4-decision" TargetMode="External"/><Relationship Id="rIdWordFormats5" Type="http://schemas.openxmlformats.org/officeDocument/2006/relationships/hyperlink" Target="https://papers.spiralweb.earth/formats/format5-financial-ledger"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Field Diary</dc:title>
  <dc:subject>Practice Guide from personal experience to shared capacity for action · Word revision 24 October 2026 · operational formats via links</dc:subject>
  <dc:creator/>
  <cp:keywords/>
  <dc:description>generated by python-docx</dc:description>
  <cp:lastModifiedBy/>
  <cp:revision>1</cp:revision>
  <dcterms:created xsi:type="dcterms:W3CDTF">2013-12-23T23:15:00Z</dcterms:created>
  <dcterms:modified xsi:type="dcterms:W3CDTF">2013-12-23T23:15:00Z</dcterms:modified>
  <cp:category/>
</cp:coreProperties>
</file>